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5010" w14:textId="77777777" w:rsidR="009A4A8B" w:rsidRPr="00E6513B" w:rsidRDefault="009A4A8B" w:rsidP="009A4A8B">
      <w:pPr>
        <w:spacing w:after="0" w:line="240" w:lineRule="auto"/>
        <w:jc w:val="center"/>
        <w:rPr>
          <w:rFonts w:ascii="Aptos" w:eastAsia="Times New Roman" w:hAnsi="Aptos" w:cs="Helvetica"/>
          <w:b/>
          <w:bCs/>
          <w:sz w:val="26"/>
          <w:szCs w:val="26"/>
          <w:shd w:val="clear" w:color="auto" w:fill="FFFFFF"/>
        </w:rPr>
      </w:pPr>
      <w:r w:rsidRPr="00E6513B">
        <w:rPr>
          <w:rFonts w:ascii="Aptos" w:eastAsia="Times New Roman" w:hAnsi="Aptos" w:cs="Helvetica"/>
          <w:b/>
          <w:bCs/>
          <w:sz w:val="26"/>
          <w:szCs w:val="26"/>
          <w:shd w:val="clear" w:color="auto" w:fill="FFFFFF"/>
        </w:rPr>
        <w:t>2025 Florida Legislative Session</w:t>
      </w:r>
    </w:p>
    <w:p w14:paraId="06136B3B" w14:textId="77777777" w:rsidR="009A4A8B" w:rsidRPr="00E6513B" w:rsidRDefault="009A4A8B" w:rsidP="009A4A8B">
      <w:pPr>
        <w:spacing w:after="0" w:line="240" w:lineRule="auto"/>
        <w:jc w:val="center"/>
        <w:rPr>
          <w:rFonts w:ascii="Aptos" w:eastAsia="Times New Roman" w:hAnsi="Aptos" w:cs="Helvetica"/>
          <w:b/>
          <w:bCs/>
          <w:sz w:val="26"/>
          <w:szCs w:val="26"/>
          <w:shd w:val="clear" w:color="auto" w:fill="FFFFFF"/>
        </w:rPr>
      </w:pPr>
      <w:r w:rsidRPr="00E6513B">
        <w:rPr>
          <w:rFonts w:ascii="Aptos" w:eastAsia="Times New Roman" w:hAnsi="Aptos" w:cs="Helvetica"/>
          <w:b/>
          <w:bCs/>
          <w:sz w:val="26"/>
          <w:szCs w:val="26"/>
          <w:shd w:val="clear" w:color="auto" w:fill="FFFFFF"/>
        </w:rPr>
        <w:t>Condominium Associations</w:t>
      </w:r>
    </w:p>
    <w:p w14:paraId="32055BD3" w14:textId="77777777" w:rsidR="009A4A8B" w:rsidRPr="00E6513B" w:rsidRDefault="009A4A8B" w:rsidP="009A4A8B">
      <w:pPr>
        <w:spacing w:after="0" w:line="240" w:lineRule="auto"/>
        <w:jc w:val="center"/>
        <w:rPr>
          <w:rFonts w:ascii="Aptos" w:eastAsia="Times New Roman" w:hAnsi="Aptos" w:cs="Helvetica"/>
          <w:sz w:val="26"/>
          <w:szCs w:val="26"/>
          <w:shd w:val="clear" w:color="auto" w:fill="FFFFFF"/>
        </w:rPr>
      </w:pPr>
      <w:r w:rsidRPr="00E6513B">
        <w:rPr>
          <w:rFonts w:ascii="Aptos" w:eastAsia="Times New Roman" w:hAnsi="Aptos" w:cs="Helvetica"/>
          <w:sz w:val="26"/>
          <w:szCs w:val="26"/>
          <w:shd w:val="clear" w:color="auto" w:fill="FFFFFF"/>
        </w:rPr>
        <w:t xml:space="preserve">Summary of </w:t>
      </w:r>
      <w:r w:rsidRPr="00E6513B">
        <w:rPr>
          <w:rFonts w:ascii="Aptos" w:eastAsia="Times New Roman" w:hAnsi="Aptos" w:cs="Helvetica"/>
          <w:b/>
          <w:bCs/>
          <w:sz w:val="26"/>
          <w:szCs w:val="26"/>
          <w:shd w:val="clear" w:color="auto" w:fill="FFFFFF"/>
        </w:rPr>
        <w:t xml:space="preserve">House Bill 913 </w:t>
      </w:r>
      <w:r w:rsidRPr="00E6513B">
        <w:rPr>
          <w:rFonts w:ascii="Aptos" w:eastAsia="Times New Roman" w:hAnsi="Aptos" w:cs="Helvetica"/>
          <w:sz w:val="26"/>
          <w:szCs w:val="26"/>
          <w:shd w:val="clear" w:color="auto" w:fill="FFFFFF"/>
        </w:rPr>
        <w:t xml:space="preserve">(Rep. Lopez) and </w:t>
      </w:r>
      <w:r w:rsidRPr="00E6513B">
        <w:rPr>
          <w:rFonts w:ascii="Aptos" w:eastAsia="Times New Roman" w:hAnsi="Aptos" w:cs="Helvetica"/>
          <w:b/>
          <w:bCs/>
          <w:sz w:val="26"/>
          <w:szCs w:val="26"/>
          <w:shd w:val="clear" w:color="auto" w:fill="FFFFFF"/>
        </w:rPr>
        <w:t>Senate Bill 1742</w:t>
      </w:r>
      <w:r w:rsidRPr="00E6513B">
        <w:rPr>
          <w:rFonts w:ascii="Aptos" w:eastAsia="Times New Roman" w:hAnsi="Aptos" w:cs="Helvetica"/>
          <w:sz w:val="26"/>
          <w:szCs w:val="26"/>
          <w:shd w:val="clear" w:color="auto" w:fill="FFFFFF"/>
        </w:rPr>
        <w:t xml:space="preserve"> (Sen. Bradley)</w:t>
      </w:r>
    </w:p>
    <w:p w14:paraId="12A079A2" w14:textId="77777777" w:rsidR="009A4A8B" w:rsidRPr="00F7640B" w:rsidRDefault="009A4A8B" w:rsidP="009A4A8B">
      <w:pPr>
        <w:spacing w:after="0" w:line="240" w:lineRule="auto"/>
        <w:jc w:val="both"/>
        <w:rPr>
          <w:rFonts w:ascii="Aptos" w:eastAsia="Times New Roman" w:hAnsi="Aptos" w:cs="Helvetica"/>
          <w:sz w:val="18"/>
          <w:szCs w:val="18"/>
          <w:shd w:val="clear" w:color="auto" w:fill="FFFFFF"/>
        </w:rPr>
      </w:pPr>
    </w:p>
    <w:p w14:paraId="3166F65F" w14:textId="77777777" w:rsidR="009A4A8B" w:rsidRPr="00F84B61" w:rsidRDefault="009A4A8B" w:rsidP="009A4A8B">
      <w:pPr>
        <w:spacing w:after="0" w:line="240" w:lineRule="auto"/>
        <w:jc w:val="both"/>
        <w:rPr>
          <w:rFonts w:ascii="Aptos" w:eastAsia="Times New Roman" w:hAnsi="Aptos" w:cs="Helvetica"/>
          <w:b/>
          <w:bCs/>
          <w:sz w:val="30"/>
          <w:szCs w:val="30"/>
          <w:u w:val="single"/>
          <w:shd w:val="clear" w:color="auto" w:fill="FFFFFF"/>
        </w:rPr>
      </w:pPr>
      <w:r w:rsidRPr="00F84B61">
        <w:rPr>
          <w:rFonts w:ascii="Aptos" w:eastAsia="Times New Roman" w:hAnsi="Aptos" w:cs="Helvetica"/>
          <w:b/>
          <w:bCs/>
          <w:sz w:val="30"/>
          <w:szCs w:val="30"/>
          <w:u w:val="single"/>
          <w:shd w:val="clear" w:color="auto" w:fill="FFFFFF"/>
        </w:rPr>
        <w:t>House Bill 913 / Senate Bill 1742 – Overview</w:t>
      </w:r>
    </w:p>
    <w:p w14:paraId="56066F08"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b/>
          <w:bCs/>
          <w:shd w:val="clear" w:color="auto" w:fill="FFFFFF"/>
        </w:rPr>
        <w:t>House Bill 913 / Senate Bill 1742</w:t>
      </w:r>
      <w:r>
        <w:rPr>
          <w:rFonts w:ascii="Aptos" w:eastAsia="Times New Roman" w:hAnsi="Aptos" w:cs="Helvetica"/>
          <w:shd w:val="clear" w:color="auto" w:fill="FFFFFF"/>
        </w:rPr>
        <w:t xml:space="preserve"> amends requirements relating to </w:t>
      </w:r>
      <w:r>
        <w:rPr>
          <w:rFonts w:ascii="Aptos" w:eastAsia="Times New Roman" w:hAnsi="Aptos" w:cs="Helvetica"/>
          <w:b/>
          <w:bCs/>
          <w:shd w:val="clear" w:color="auto" w:fill="FFFFFF"/>
        </w:rPr>
        <w:t>Structural Integrity Reserve Studies (SIRS)</w:t>
      </w:r>
      <w:r>
        <w:rPr>
          <w:rFonts w:ascii="Aptos" w:eastAsia="Times New Roman" w:hAnsi="Aptos" w:cs="Helvetica"/>
          <w:shd w:val="clear" w:color="auto" w:fill="FFFFFF"/>
        </w:rPr>
        <w:t xml:space="preserve">, </w:t>
      </w:r>
      <w:r>
        <w:rPr>
          <w:rFonts w:ascii="Aptos" w:eastAsia="Times New Roman" w:hAnsi="Aptos" w:cs="Helvetica"/>
          <w:b/>
          <w:bCs/>
          <w:shd w:val="clear" w:color="auto" w:fill="FFFFFF"/>
        </w:rPr>
        <w:t>Milestone Inspections</w:t>
      </w:r>
      <w:r>
        <w:rPr>
          <w:rFonts w:ascii="Aptos" w:eastAsia="Times New Roman" w:hAnsi="Aptos" w:cs="Helvetica"/>
          <w:shd w:val="clear" w:color="auto" w:fill="FFFFFF"/>
        </w:rPr>
        <w:t>, the governance and management of condominium and cooperative associations.</w:t>
      </w:r>
    </w:p>
    <w:p w14:paraId="4FDE5B8C"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06AFB4E" w14:textId="77777777" w:rsidR="009A4A8B" w:rsidRPr="00E937F0"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b/>
          <w:bCs/>
          <w:shd w:val="clear" w:color="auto" w:fill="FFFFFF"/>
        </w:rPr>
        <w:t>Bill Sponsors:</w:t>
      </w:r>
      <w:r>
        <w:rPr>
          <w:rFonts w:ascii="Aptos" w:eastAsia="Times New Roman" w:hAnsi="Aptos" w:cs="Helvetica"/>
          <w:shd w:val="clear" w:color="auto" w:fill="FFFFFF"/>
        </w:rPr>
        <w:t xml:space="preserve"> </w:t>
      </w:r>
    </w:p>
    <w:p w14:paraId="433792F6" w14:textId="77777777" w:rsidR="009A4A8B" w:rsidRDefault="009A4A8B" w:rsidP="009A4A8B">
      <w:pPr>
        <w:pStyle w:val="ListParagraph"/>
        <w:numPr>
          <w:ilvl w:val="1"/>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Rep. Lopez - 113</w:t>
      </w:r>
      <w:r w:rsidRPr="005D10D9">
        <w:rPr>
          <w:rFonts w:ascii="Aptos" w:eastAsia="Times New Roman" w:hAnsi="Aptos" w:cs="Helvetica"/>
          <w:shd w:val="clear" w:color="auto" w:fill="FFFFFF"/>
          <w:vertAlign w:val="superscript"/>
        </w:rPr>
        <w:t>th</w:t>
      </w:r>
      <w:r>
        <w:rPr>
          <w:rFonts w:ascii="Aptos" w:eastAsia="Times New Roman" w:hAnsi="Aptos" w:cs="Helvetica"/>
          <w:shd w:val="clear" w:color="auto" w:fill="FFFFFF"/>
        </w:rPr>
        <w:t xml:space="preserve"> District of the Florida House of Representatives</w:t>
      </w:r>
    </w:p>
    <w:p w14:paraId="460DC6FA" w14:textId="77777777" w:rsidR="009A4A8B" w:rsidRPr="00A6675C" w:rsidRDefault="009A4A8B" w:rsidP="009A4A8B">
      <w:pPr>
        <w:pStyle w:val="ListParagraph"/>
        <w:spacing w:after="0" w:line="240" w:lineRule="auto"/>
        <w:ind w:left="990"/>
        <w:jc w:val="both"/>
        <w:rPr>
          <w:rFonts w:ascii="Aptos" w:eastAsia="Times New Roman" w:hAnsi="Aptos" w:cs="Helvetica"/>
          <w:sz w:val="18"/>
          <w:szCs w:val="18"/>
          <w:shd w:val="clear" w:color="auto" w:fill="FFFFFF"/>
        </w:rPr>
      </w:pPr>
    </w:p>
    <w:p w14:paraId="199735F8" w14:textId="77777777" w:rsidR="009A4A8B" w:rsidRDefault="009A4A8B" w:rsidP="009A4A8B">
      <w:pPr>
        <w:pStyle w:val="ListParagraph"/>
        <w:numPr>
          <w:ilvl w:val="1"/>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Sen. Bradley – 6</w:t>
      </w:r>
      <w:r w:rsidRPr="0076223B">
        <w:rPr>
          <w:rFonts w:ascii="Aptos" w:eastAsia="Times New Roman" w:hAnsi="Aptos" w:cs="Helvetica"/>
          <w:shd w:val="clear" w:color="auto" w:fill="FFFFFF"/>
          <w:vertAlign w:val="superscript"/>
        </w:rPr>
        <w:t>th</w:t>
      </w:r>
      <w:r>
        <w:rPr>
          <w:rFonts w:ascii="Aptos" w:eastAsia="Times New Roman" w:hAnsi="Aptos" w:cs="Helvetica"/>
          <w:shd w:val="clear" w:color="auto" w:fill="FFFFFF"/>
        </w:rPr>
        <w:t xml:space="preserve"> District of the Florida Senate </w:t>
      </w:r>
    </w:p>
    <w:p w14:paraId="58FE3A11" w14:textId="77777777" w:rsidR="009A4A8B" w:rsidRPr="00E6513B" w:rsidRDefault="009A4A8B" w:rsidP="009A4A8B">
      <w:pPr>
        <w:spacing w:after="0" w:line="240" w:lineRule="auto"/>
        <w:jc w:val="both"/>
        <w:rPr>
          <w:rFonts w:ascii="Aptos" w:eastAsia="Times New Roman" w:hAnsi="Aptos" w:cs="Helvetica"/>
          <w:shd w:val="clear" w:color="auto" w:fill="FFFFFF"/>
        </w:rPr>
      </w:pPr>
    </w:p>
    <w:p w14:paraId="2C068940" w14:textId="77777777" w:rsidR="009A4A8B" w:rsidRPr="00F84B61" w:rsidRDefault="009A4A8B" w:rsidP="009A4A8B">
      <w:pPr>
        <w:spacing w:after="0" w:line="240" w:lineRule="auto"/>
        <w:jc w:val="both"/>
        <w:rPr>
          <w:rFonts w:ascii="Aptos" w:eastAsia="Times New Roman" w:hAnsi="Aptos" w:cs="Helvetica"/>
          <w:b/>
          <w:bCs/>
          <w:sz w:val="30"/>
          <w:szCs w:val="30"/>
          <w:u w:val="single"/>
          <w:shd w:val="clear" w:color="auto" w:fill="FFFFFF"/>
        </w:rPr>
      </w:pPr>
      <w:bookmarkStart w:id="0" w:name="_Hlk194333823"/>
      <w:r w:rsidRPr="00F84B61">
        <w:rPr>
          <w:rFonts w:ascii="Aptos" w:eastAsia="Times New Roman" w:hAnsi="Aptos" w:cs="Helvetica"/>
          <w:b/>
          <w:bCs/>
          <w:sz w:val="30"/>
          <w:szCs w:val="30"/>
          <w:u w:val="single"/>
          <w:shd w:val="clear" w:color="auto" w:fill="FFFFFF"/>
        </w:rPr>
        <w:t>House Bill 913 / Senate Bill 1742 – Summary of Legislation</w:t>
      </w:r>
    </w:p>
    <w:p w14:paraId="11CC2562" w14:textId="77777777" w:rsidR="009A4A8B" w:rsidRPr="00E6513B" w:rsidRDefault="009A4A8B" w:rsidP="009A4A8B">
      <w:pPr>
        <w:spacing w:after="0" w:line="240" w:lineRule="auto"/>
        <w:jc w:val="both"/>
        <w:rPr>
          <w:rFonts w:ascii="Aptos" w:eastAsia="Times New Roman" w:hAnsi="Aptos" w:cs="Helvetica"/>
          <w:b/>
          <w:bCs/>
          <w:sz w:val="6"/>
          <w:szCs w:val="6"/>
          <w:shd w:val="clear" w:color="auto" w:fill="FFFFFF"/>
        </w:rPr>
      </w:pPr>
    </w:p>
    <w:p w14:paraId="5FC2DEDE"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bookmarkStart w:id="1" w:name="_Hlk203381240"/>
      <w:bookmarkEnd w:id="0"/>
      <w:r w:rsidRPr="004A6A31">
        <w:rPr>
          <w:rFonts w:ascii="Aptos" w:eastAsia="Times New Roman" w:hAnsi="Aptos" w:cs="Helvetica"/>
          <w:b/>
          <w:bCs/>
          <w:sz w:val="26"/>
          <w:szCs w:val="26"/>
          <w:shd w:val="clear" w:color="auto" w:fill="FFFFFF"/>
        </w:rPr>
        <w:t xml:space="preserve">Community Association Managers </w:t>
      </w:r>
      <w:r>
        <w:rPr>
          <w:rFonts w:ascii="Aptos" w:eastAsia="Times New Roman" w:hAnsi="Aptos" w:cs="Helvetica"/>
          <w:b/>
          <w:bCs/>
          <w:sz w:val="26"/>
          <w:szCs w:val="26"/>
          <w:shd w:val="clear" w:color="auto" w:fill="FFFFFF"/>
        </w:rPr>
        <w:t xml:space="preserve">and </w:t>
      </w:r>
      <w:r w:rsidRPr="004A6A31">
        <w:rPr>
          <w:rFonts w:ascii="Aptos" w:eastAsia="Times New Roman" w:hAnsi="Aptos" w:cs="Helvetica"/>
          <w:b/>
          <w:bCs/>
          <w:sz w:val="26"/>
          <w:szCs w:val="26"/>
          <w:shd w:val="clear" w:color="auto" w:fill="FFFFFF"/>
        </w:rPr>
        <w:t xml:space="preserve">Community Association Management Firm </w:t>
      </w:r>
    </w:p>
    <w:p w14:paraId="51ECC250" w14:textId="77777777" w:rsidR="009A4A8B" w:rsidRPr="00AF6CEA" w:rsidRDefault="009A4A8B" w:rsidP="009A4A8B">
      <w:pPr>
        <w:spacing w:after="0" w:line="240" w:lineRule="auto"/>
        <w:jc w:val="both"/>
        <w:rPr>
          <w:rFonts w:ascii="Aptos" w:eastAsia="Times New Roman" w:hAnsi="Aptos" w:cs="Helvetica"/>
          <w:b/>
          <w:bCs/>
          <w:i/>
          <w:iCs/>
          <w:shd w:val="clear" w:color="auto" w:fill="FFFFFF"/>
        </w:rPr>
      </w:pPr>
      <w:r w:rsidRPr="00AF6CEA">
        <w:rPr>
          <w:rFonts w:ascii="Aptos" w:eastAsia="Times New Roman" w:hAnsi="Aptos" w:cs="Helvetica"/>
          <w:b/>
          <w:bCs/>
          <w:i/>
          <w:iCs/>
          <w:shd w:val="clear" w:color="auto" w:fill="FFFFFF"/>
        </w:rPr>
        <w:t>Regarding Community Association Managers</w:t>
      </w:r>
      <w:r>
        <w:rPr>
          <w:rFonts w:ascii="Aptos" w:eastAsia="Times New Roman" w:hAnsi="Aptos" w:cs="Helvetica"/>
          <w:b/>
          <w:bCs/>
          <w:i/>
          <w:iCs/>
          <w:shd w:val="clear" w:color="auto" w:fill="FFFFFF"/>
        </w:rPr>
        <w:t xml:space="preserve"> </w:t>
      </w:r>
      <w:r w:rsidRPr="00AF6CEA">
        <w:rPr>
          <w:rFonts w:ascii="Aptos" w:eastAsia="Times New Roman" w:hAnsi="Aptos" w:cs="Helvetica"/>
          <w:b/>
          <w:bCs/>
          <w:i/>
          <w:iCs/>
          <w:shd w:val="clear" w:color="auto" w:fill="FFFFFF"/>
        </w:rPr>
        <w:t>and Community Association Management Firms, the bill:</w:t>
      </w:r>
    </w:p>
    <w:p w14:paraId="02E764D6" w14:textId="77777777" w:rsidR="009A4A8B" w:rsidRPr="00BC2B56"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b/>
          <w:bCs/>
          <w:shd w:val="clear" w:color="auto" w:fill="FFFFFF"/>
        </w:rPr>
        <w:t xml:space="preserve">Community Association Managers </w:t>
      </w:r>
      <w:r>
        <w:rPr>
          <w:rFonts w:ascii="Aptos" w:eastAsia="Times New Roman" w:hAnsi="Aptos" w:cs="Helvetica"/>
          <w:shd w:val="clear" w:color="auto" w:fill="FFFFFF"/>
        </w:rPr>
        <w:t>must c</w:t>
      </w:r>
      <w:r w:rsidRPr="00E6513B">
        <w:rPr>
          <w:rFonts w:ascii="Aptos" w:eastAsia="Times New Roman" w:hAnsi="Aptos" w:cs="Helvetica"/>
          <w:shd w:val="clear" w:color="auto" w:fill="FFFFFF"/>
        </w:rPr>
        <w:t>reate and maintain an online licensure account with the Department of Business and Professional Regulation (DBPR).</w:t>
      </w:r>
      <w:r>
        <w:rPr>
          <w:rFonts w:ascii="Aptos" w:eastAsia="Times New Roman" w:hAnsi="Aptos" w:cs="Helvetica"/>
          <w:shd w:val="clear" w:color="auto" w:fill="FFFFFF"/>
        </w:rPr>
        <w:t xml:space="preserve">  </w:t>
      </w:r>
      <w:r w:rsidRPr="00E6513B">
        <w:rPr>
          <w:rFonts w:ascii="Aptos" w:eastAsia="Times New Roman" w:hAnsi="Aptos" w:cs="Helvetica"/>
          <w:shd w:val="clear" w:color="auto" w:fill="FFFFFF"/>
        </w:rPr>
        <w:t xml:space="preserve">Identify on his or her online licensure account the </w:t>
      </w:r>
      <w:r w:rsidRPr="00E6513B">
        <w:rPr>
          <w:rFonts w:ascii="Aptos" w:eastAsia="Times New Roman" w:hAnsi="Aptos" w:cs="Helvetica"/>
          <w:b/>
          <w:bCs/>
          <w:shd w:val="clear" w:color="auto" w:fill="FFFFFF"/>
        </w:rPr>
        <w:t>Community Association Management Firm</w:t>
      </w:r>
      <w:r w:rsidRPr="00E6513B">
        <w:rPr>
          <w:rFonts w:ascii="Aptos" w:eastAsia="Times New Roman" w:hAnsi="Aptos" w:cs="Helvetica"/>
          <w:shd w:val="clear" w:color="auto" w:fill="FFFFFF"/>
        </w:rPr>
        <w:t xml:space="preserve"> for which he or she provides management services and identify each community association for which he or she is the designated onside </w:t>
      </w:r>
      <w:r w:rsidRPr="00E6513B">
        <w:rPr>
          <w:rFonts w:ascii="Aptos" w:eastAsia="Times New Roman" w:hAnsi="Aptos" w:cs="Helvetica"/>
          <w:b/>
          <w:bCs/>
          <w:shd w:val="clear" w:color="auto" w:fill="FFFFFF"/>
        </w:rPr>
        <w:t>Community Association Manager</w:t>
      </w:r>
      <w:r w:rsidRPr="00E6513B">
        <w:rPr>
          <w:rFonts w:ascii="Aptos" w:eastAsia="Times New Roman" w:hAnsi="Aptos" w:cs="Helvetica"/>
          <w:shd w:val="clear" w:color="auto" w:fill="FFFFFF"/>
        </w:rPr>
        <w:t>.</w:t>
      </w:r>
    </w:p>
    <w:p w14:paraId="02141D31"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58B0A42A" w14:textId="77777777" w:rsidR="009A4A8B" w:rsidRPr="00BC2B56"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sidRPr="00E6513B">
        <w:rPr>
          <w:rFonts w:ascii="Aptos" w:eastAsia="Times New Roman" w:hAnsi="Aptos" w:cs="Helvetica"/>
          <w:shd w:val="clear" w:color="auto" w:fill="FFFFFF"/>
        </w:rPr>
        <w:t xml:space="preserve">The bill prohibits a person who has had his or her </w:t>
      </w:r>
      <w:r w:rsidRPr="00E6513B">
        <w:rPr>
          <w:rFonts w:ascii="Aptos" w:eastAsia="Times New Roman" w:hAnsi="Aptos" w:cs="Helvetica"/>
          <w:b/>
          <w:bCs/>
          <w:shd w:val="clear" w:color="auto" w:fill="FFFFFF"/>
        </w:rPr>
        <w:t>Community Association Manager (CAM)</w:t>
      </w:r>
      <w:r w:rsidRPr="00E6513B">
        <w:rPr>
          <w:rFonts w:ascii="Aptos" w:eastAsia="Times New Roman" w:hAnsi="Aptos" w:cs="Helvetica"/>
          <w:shd w:val="clear" w:color="auto" w:fill="FFFFFF"/>
        </w:rPr>
        <w:t xml:space="preserve"> license revoked from having an indirect or direct ownership interest in, or </w:t>
      </w:r>
      <w:proofErr w:type="gramStart"/>
      <w:r w:rsidRPr="00E6513B">
        <w:rPr>
          <w:rFonts w:ascii="Aptos" w:eastAsia="Times New Roman" w:hAnsi="Aptos" w:cs="Helvetica"/>
          <w:shd w:val="clear" w:color="auto" w:fill="FFFFFF"/>
        </w:rPr>
        <w:t>be</w:t>
      </w:r>
      <w:proofErr w:type="gramEnd"/>
      <w:r w:rsidRPr="00E6513B">
        <w:rPr>
          <w:rFonts w:ascii="Aptos" w:eastAsia="Times New Roman" w:hAnsi="Aptos" w:cs="Helvetica"/>
          <w:shd w:val="clear" w:color="auto" w:fill="FFFFFF"/>
        </w:rPr>
        <w:t xml:space="preserve"> an employee, partner, officer, director, or trustee of, a </w:t>
      </w:r>
      <w:r w:rsidRPr="00E6513B">
        <w:rPr>
          <w:rFonts w:ascii="Aptos" w:eastAsia="Times New Roman" w:hAnsi="Aptos" w:cs="Helvetica"/>
          <w:b/>
          <w:bCs/>
          <w:shd w:val="clear" w:color="auto" w:fill="FFFFFF"/>
        </w:rPr>
        <w:t>Community Association Management Firm</w:t>
      </w:r>
      <w:r w:rsidRPr="00E6513B">
        <w:rPr>
          <w:rFonts w:ascii="Aptos" w:eastAsia="Times New Roman" w:hAnsi="Aptos" w:cs="Helvetica"/>
          <w:shd w:val="clear" w:color="auto" w:fill="FFFFFF"/>
        </w:rPr>
        <w:t xml:space="preserve"> during the 10-year period after the effective date of the revocation.</w:t>
      </w:r>
      <w:r>
        <w:rPr>
          <w:rFonts w:ascii="Aptos" w:eastAsia="Times New Roman" w:hAnsi="Aptos" w:cs="Helvetica"/>
          <w:shd w:val="clear" w:color="auto" w:fill="FFFFFF"/>
        </w:rPr>
        <w:t xml:space="preserve"> </w:t>
      </w:r>
      <w:bookmarkEnd w:id="1"/>
    </w:p>
    <w:p w14:paraId="0B96B50D"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FAC5EBC" w14:textId="77777777" w:rsidR="009A4A8B" w:rsidRPr="00BC2B56"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sidRPr="00E6513B">
        <w:rPr>
          <w:rFonts w:ascii="Aptos" w:eastAsia="Times New Roman" w:hAnsi="Aptos" w:cs="Helvetica"/>
          <w:shd w:val="clear" w:color="auto" w:fill="FFFFFF"/>
        </w:rPr>
        <w:t xml:space="preserve">The bill requires every </w:t>
      </w:r>
      <w:r w:rsidRPr="00E6513B">
        <w:rPr>
          <w:rFonts w:ascii="Aptos" w:eastAsia="Times New Roman" w:hAnsi="Aptos" w:cs="Helvetica"/>
          <w:b/>
          <w:bCs/>
          <w:shd w:val="clear" w:color="auto" w:fill="FFFFFF"/>
        </w:rPr>
        <w:t>Community Association Management Firm</w:t>
      </w:r>
      <w:r w:rsidRPr="00E6513B">
        <w:rPr>
          <w:rFonts w:ascii="Aptos" w:eastAsia="Times New Roman" w:hAnsi="Aptos" w:cs="Helvetica"/>
          <w:shd w:val="clear" w:color="auto" w:fill="FFFFFF"/>
        </w:rPr>
        <w:t xml:space="preserve"> to identify on its online licensure account each </w:t>
      </w:r>
      <w:r w:rsidRPr="00E6513B">
        <w:rPr>
          <w:rFonts w:ascii="Aptos" w:eastAsia="Times New Roman" w:hAnsi="Aptos" w:cs="Helvetica"/>
          <w:b/>
          <w:bCs/>
          <w:shd w:val="clear" w:color="auto" w:fill="FFFFFF"/>
        </w:rPr>
        <w:t xml:space="preserve">Community Association Manager </w:t>
      </w:r>
      <w:r w:rsidRPr="00E6513B">
        <w:rPr>
          <w:rFonts w:ascii="Aptos" w:eastAsia="Times New Roman" w:hAnsi="Aptos" w:cs="Helvetica"/>
          <w:shd w:val="clear" w:color="auto" w:fill="FFFFFF"/>
        </w:rPr>
        <w:t xml:space="preserve">under its employment. If a </w:t>
      </w:r>
      <w:r w:rsidRPr="00E6513B">
        <w:rPr>
          <w:rFonts w:ascii="Aptos" w:eastAsia="Times New Roman" w:hAnsi="Aptos" w:cs="Helvetica"/>
          <w:b/>
          <w:bCs/>
          <w:shd w:val="clear" w:color="auto" w:fill="FFFFFF"/>
        </w:rPr>
        <w:t>Community Association Manager</w:t>
      </w:r>
      <w:r w:rsidRPr="00E6513B">
        <w:rPr>
          <w:rFonts w:ascii="Aptos" w:eastAsia="Times New Roman" w:hAnsi="Aptos" w:cs="Helvetica"/>
          <w:shd w:val="clear" w:color="auto" w:fill="FFFFFF"/>
        </w:rPr>
        <w:t xml:space="preserve"> has his or her license suspended or revoked, the bill requires Department of Business and Professional Regulation (DBPR) to give written notice of such suspension or revocation to the </w:t>
      </w:r>
      <w:r w:rsidRPr="00E6513B">
        <w:rPr>
          <w:rFonts w:ascii="Aptos" w:eastAsia="Times New Roman" w:hAnsi="Aptos" w:cs="Helvetica"/>
          <w:b/>
          <w:bCs/>
          <w:shd w:val="clear" w:color="auto" w:fill="FFFFFF"/>
        </w:rPr>
        <w:t>Community Association Management Firm</w:t>
      </w:r>
      <w:r w:rsidRPr="00E6513B">
        <w:rPr>
          <w:rFonts w:ascii="Aptos" w:eastAsia="Times New Roman" w:hAnsi="Aptos" w:cs="Helvetica"/>
          <w:shd w:val="clear" w:color="auto" w:fill="FFFFFF"/>
        </w:rPr>
        <w:t xml:space="preserve"> and the community association for which the </w:t>
      </w:r>
      <w:r w:rsidRPr="00E6513B">
        <w:rPr>
          <w:rFonts w:ascii="Aptos" w:eastAsia="Times New Roman" w:hAnsi="Aptos" w:cs="Helvetica"/>
          <w:b/>
          <w:bCs/>
          <w:shd w:val="clear" w:color="auto" w:fill="FFFFFF"/>
        </w:rPr>
        <w:t xml:space="preserve">Community Association Manager </w:t>
      </w:r>
      <w:r w:rsidRPr="00E6513B">
        <w:rPr>
          <w:rFonts w:ascii="Aptos" w:eastAsia="Times New Roman" w:hAnsi="Aptos" w:cs="Helvetica"/>
          <w:shd w:val="clear" w:color="auto" w:fill="FFFFFF"/>
        </w:rPr>
        <w:t>performs management services.</w:t>
      </w:r>
    </w:p>
    <w:p w14:paraId="02BB0FD1"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5D5A7D45" w14:textId="77777777" w:rsidR="009A4A8B" w:rsidRPr="00BC2B56"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sidRPr="00E6513B">
        <w:rPr>
          <w:rFonts w:ascii="Aptos" w:eastAsia="Times New Roman" w:hAnsi="Aptos" w:cs="Helvetica"/>
          <w:shd w:val="clear" w:color="auto" w:fill="FFFFFF"/>
        </w:rPr>
        <w:t xml:space="preserve">A </w:t>
      </w:r>
      <w:r w:rsidRPr="00E6513B">
        <w:rPr>
          <w:rFonts w:ascii="Aptos" w:eastAsia="Times New Roman" w:hAnsi="Aptos" w:cs="Helvetica"/>
          <w:b/>
          <w:bCs/>
          <w:shd w:val="clear" w:color="auto" w:fill="FFFFFF"/>
        </w:rPr>
        <w:t xml:space="preserve">Community Association Manager </w:t>
      </w:r>
      <w:r w:rsidRPr="00E6513B">
        <w:rPr>
          <w:rFonts w:ascii="Aptos" w:eastAsia="Times New Roman" w:hAnsi="Aptos" w:cs="Helvetica"/>
          <w:shd w:val="clear" w:color="auto" w:fill="FFFFFF"/>
        </w:rPr>
        <w:t xml:space="preserve">or a </w:t>
      </w:r>
      <w:r w:rsidRPr="00E6513B">
        <w:rPr>
          <w:rFonts w:ascii="Aptos" w:eastAsia="Times New Roman" w:hAnsi="Aptos" w:cs="Helvetica"/>
          <w:b/>
          <w:bCs/>
          <w:shd w:val="clear" w:color="auto" w:fill="FFFFFF"/>
        </w:rPr>
        <w:t>Community Association Management Firm</w:t>
      </w:r>
      <w:r w:rsidRPr="00E6513B">
        <w:rPr>
          <w:rFonts w:ascii="Aptos" w:eastAsia="Times New Roman" w:hAnsi="Aptos" w:cs="Helvetica"/>
          <w:shd w:val="clear" w:color="auto" w:fill="FFFFFF"/>
        </w:rPr>
        <w:t xml:space="preserve"> may not knowingly perform any act directed by the community association if such an act violates any state or federal law.</w:t>
      </w:r>
    </w:p>
    <w:p w14:paraId="7384B0AF"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447B1AA4" w14:textId="77777777" w:rsidR="009A4A8B" w:rsidRPr="00641E47"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sidRPr="00E6513B">
        <w:rPr>
          <w:rFonts w:ascii="Aptos" w:eastAsia="Times New Roman" w:hAnsi="Aptos" w:cs="Helvetica"/>
          <w:shd w:val="clear" w:color="auto" w:fill="FFFFFF"/>
        </w:rPr>
        <w:t xml:space="preserve">Specifies that a </w:t>
      </w:r>
      <w:r w:rsidRPr="00E6513B">
        <w:rPr>
          <w:rFonts w:ascii="Aptos" w:eastAsia="Times New Roman" w:hAnsi="Aptos" w:cs="Helvetica"/>
          <w:b/>
          <w:bCs/>
          <w:shd w:val="clear" w:color="auto" w:fill="FFFFFF"/>
        </w:rPr>
        <w:t xml:space="preserve">Community Association Managers </w:t>
      </w:r>
      <w:r w:rsidRPr="00E6513B">
        <w:rPr>
          <w:rFonts w:ascii="Aptos" w:eastAsia="Times New Roman" w:hAnsi="Aptos" w:cs="Helvetica"/>
          <w:shd w:val="clear" w:color="auto" w:fill="FFFFFF"/>
        </w:rPr>
        <w:t xml:space="preserve">or </w:t>
      </w:r>
      <w:r w:rsidRPr="00E6513B">
        <w:rPr>
          <w:rFonts w:ascii="Aptos" w:eastAsia="Times New Roman" w:hAnsi="Aptos" w:cs="Helvetica"/>
          <w:b/>
          <w:bCs/>
          <w:shd w:val="clear" w:color="auto" w:fill="FFFFFF"/>
        </w:rPr>
        <w:t>Community Association Management Firms</w:t>
      </w:r>
      <w:r w:rsidRPr="00E6513B">
        <w:rPr>
          <w:rFonts w:ascii="Aptos" w:eastAsia="Times New Roman" w:hAnsi="Aptos" w:cs="Helvetica"/>
          <w:shd w:val="clear" w:color="auto" w:fill="FFFFFF"/>
        </w:rPr>
        <w:t xml:space="preserve"> must post on each association’s website for which it provides management services the name and contact information for each </w:t>
      </w:r>
      <w:r w:rsidRPr="00E6513B">
        <w:rPr>
          <w:rFonts w:ascii="Aptos" w:eastAsia="Times New Roman" w:hAnsi="Aptos" w:cs="Helvetica"/>
          <w:b/>
          <w:shd w:val="clear" w:color="auto" w:fill="FFFFFF"/>
        </w:rPr>
        <w:t>Community Association Manager</w:t>
      </w:r>
      <w:r w:rsidRPr="00E6513B">
        <w:rPr>
          <w:rFonts w:ascii="Aptos" w:eastAsia="Times New Roman" w:hAnsi="Aptos" w:cs="Helvetica"/>
          <w:bCs/>
          <w:shd w:val="clear" w:color="auto" w:fill="FFFFFF"/>
        </w:rPr>
        <w:t xml:space="preserve"> or </w:t>
      </w:r>
      <w:r w:rsidRPr="00E6513B">
        <w:rPr>
          <w:rFonts w:ascii="Aptos" w:eastAsia="Times New Roman" w:hAnsi="Aptos" w:cs="Helvetica"/>
          <w:b/>
          <w:shd w:val="clear" w:color="auto" w:fill="FFFFFF"/>
        </w:rPr>
        <w:t>Community Association Management Firm</w:t>
      </w:r>
      <w:r w:rsidRPr="00E6513B">
        <w:rPr>
          <w:rFonts w:ascii="Aptos" w:eastAsia="Times New Roman" w:hAnsi="Aptos" w:cs="Helvetica"/>
          <w:bCs/>
          <w:shd w:val="clear" w:color="auto" w:fill="FFFFFF"/>
        </w:rPr>
        <w:t xml:space="preserve"> representative assigned to the association, the manager’s or representative’s hours of availability, and a summary of the duties for which the manager or representative is responsible; however, this requirement only applies if the association is required to maintain official records on a website or application.</w:t>
      </w:r>
    </w:p>
    <w:p w14:paraId="41B9E32A" w14:textId="77777777" w:rsidR="009A4A8B" w:rsidRDefault="009A4A8B" w:rsidP="009A4A8B">
      <w:pPr>
        <w:spacing w:after="0" w:line="240" w:lineRule="auto"/>
        <w:jc w:val="both"/>
        <w:rPr>
          <w:rFonts w:ascii="Aptos" w:eastAsia="Times New Roman" w:hAnsi="Aptos" w:cs="Helvetica"/>
          <w:sz w:val="6"/>
          <w:szCs w:val="6"/>
          <w:shd w:val="clear" w:color="auto" w:fill="FFFFFF"/>
        </w:rPr>
      </w:pPr>
    </w:p>
    <w:p w14:paraId="134C9714" w14:textId="77777777" w:rsidR="009A4A8B" w:rsidRPr="00064E18" w:rsidRDefault="009A4A8B" w:rsidP="009A4A8B">
      <w:pPr>
        <w:spacing w:after="0" w:line="240" w:lineRule="auto"/>
        <w:jc w:val="both"/>
        <w:rPr>
          <w:rFonts w:ascii="Aptos" w:eastAsia="Times New Roman" w:hAnsi="Aptos" w:cs="Helvetica"/>
          <w:sz w:val="6"/>
          <w:szCs w:val="6"/>
          <w:shd w:val="clear" w:color="auto" w:fill="FFFFFF"/>
        </w:rPr>
      </w:pPr>
    </w:p>
    <w:p w14:paraId="7C4CA56A" w14:textId="77777777" w:rsidR="009A4A8B" w:rsidRDefault="009A4A8B" w:rsidP="009A4A8B">
      <w:pPr>
        <w:spacing w:after="0" w:line="240" w:lineRule="auto"/>
        <w:jc w:val="both"/>
        <w:rPr>
          <w:rFonts w:ascii="Aptos" w:eastAsia="Times New Roman" w:hAnsi="Aptos" w:cs="Helvetica"/>
          <w:b/>
          <w:bCs/>
          <w:sz w:val="26"/>
          <w:szCs w:val="26"/>
          <w:u w:val="single"/>
          <w:shd w:val="clear" w:color="auto" w:fill="FFFFFF"/>
        </w:rPr>
      </w:pPr>
    </w:p>
    <w:p w14:paraId="2372DAD5" w14:textId="77777777" w:rsidR="009A4A8B" w:rsidRDefault="009A4A8B" w:rsidP="009A4A8B">
      <w:pPr>
        <w:spacing w:after="0" w:line="240" w:lineRule="auto"/>
        <w:jc w:val="both"/>
        <w:rPr>
          <w:rFonts w:ascii="Aptos" w:eastAsia="Times New Roman" w:hAnsi="Aptos" w:cs="Helvetica"/>
          <w:b/>
          <w:bCs/>
          <w:sz w:val="26"/>
          <w:szCs w:val="26"/>
          <w:u w:val="single"/>
          <w:shd w:val="clear" w:color="auto" w:fill="FFFFFF"/>
        </w:rPr>
      </w:pPr>
    </w:p>
    <w:p w14:paraId="0841D2A8" w14:textId="77777777" w:rsidR="009A4A8B" w:rsidRDefault="009A4A8B" w:rsidP="009A4A8B">
      <w:pPr>
        <w:spacing w:after="0" w:line="240" w:lineRule="auto"/>
        <w:jc w:val="both"/>
        <w:rPr>
          <w:rFonts w:ascii="Aptos" w:eastAsia="Times New Roman" w:hAnsi="Aptos" w:cs="Helvetica"/>
          <w:b/>
          <w:bCs/>
          <w:sz w:val="26"/>
          <w:szCs w:val="26"/>
          <w:u w:val="single"/>
          <w:shd w:val="clear" w:color="auto" w:fill="FFFFFF"/>
        </w:rPr>
      </w:pPr>
    </w:p>
    <w:p w14:paraId="603B3020" w14:textId="77777777" w:rsidR="009A4A8B" w:rsidRDefault="009A4A8B" w:rsidP="009A4A8B">
      <w:pPr>
        <w:spacing w:after="0" w:line="240" w:lineRule="auto"/>
        <w:jc w:val="both"/>
        <w:rPr>
          <w:rFonts w:ascii="Aptos" w:eastAsia="Times New Roman" w:hAnsi="Aptos" w:cs="Helvetica"/>
          <w:b/>
          <w:bCs/>
          <w:sz w:val="26"/>
          <w:szCs w:val="26"/>
          <w:u w:val="single"/>
          <w:shd w:val="clear" w:color="auto" w:fill="FFFFFF"/>
        </w:rPr>
      </w:pPr>
    </w:p>
    <w:p w14:paraId="59B22533" w14:textId="77777777" w:rsidR="009A4A8B" w:rsidRDefault="009A4A8B" w:rsidP="009A4A8B">
      <w:pPr>
        <w:spacing w:after="0" w:line="240" w:lineRule="auto"/>
        <w:jc w:val="both"/>
        <w:rPr>
          <w:rFonts w:ascii="Aptos" w:eastAsia="Times New Roman" w:hAnsi="Aptos" w:cs="Helvetica"/>
          <w:b/>
          <w:bCs/>
          <w:sz w:val="6"/>
          <w:szCs w:val="6"/>
          <w:u w:val="single"/>
          <w:shd w:val="clear" w:color="auto" w:fill="FFFFFF"/>
        </w:rPr>
      </w:pPr>
    </w:p>
    <w:p w14:paraId="2249ECBF" w14:textId="77777777" w:rsidR="009A4A8B" w:rsidRDefault="009A4A8B" w:rsidP="009A4A8B">
      <w:pPr>
        <w:spacing w:after="0" w:line="240" w:lineRule="auto"/>
        <w:jc w:val="both"/>
        <w:rPr>
          <w:rFonts w:ascii="Aptos" w:eastAsia="Times New Roman" w:hAnsi="Aptos" w:cs="Helvetica"/>
          <w:b/>
          <w:bCs/>
          <w:sz w:val="6"/>
          <w:szCs w:val="6"/>
          <w:u w:val="single"/>
          <w:shd w:val="clear" w:color="auto" w:fill="FFFFFF"/>
        </w:rPr>
      </w:pPr>
    </w:p>
    <w:p w14:paraId="090C1F5A" w14:textId="77777777" w:rsidR="009A4A8B" w:rsidRPr="00A6675C" w:rsidRDefault="009A4A8B" w:rsidP="009A4A8B">
      <w:pPr>
        <w:spacing w:after="0" w:line="240" w:lineRule="auto"/>
        <w:jc w:val="both"/>
        <w:rPr>
          <w:rFonts w:ascii="Aptos" w:eastAsia="Times New Roman" w:hAnsi="Aptos" w:cs="Helvetica"/>
          <w:b/>
          <w:bCs/>
          <w:sz w:val="6"/>
          <w:szCs w:val="6"/>
          <w:u w:val="single"/>
          <w:shd w:val="clear" w:color="auto" w:fill="FFFFFF"/>
        </w:rPr>
      </w:pPr>
    </w:p>
    <w:p w14:paraId="311B6982" w14:textId="77777777" w:rsidR="009A4A8B" w:rsidRPr="00064E18" w:rsidRDefault="009A4A8B" w:rsidP="009A4A8B">
      <w:pPr>
        <w:spacing w:after="0" w:line="240" w:lineRule="auto"/>
        <w:jc w:val="both"/>
        <w:rPr>
          <w:rFonts w:ascii="Aptos" w:eastAsia="Times New Roman" w:hAnsi="Aptos" w:cs="Helvetica"/>
          <w:b/>
          <w:bCs/>
          <w:sz w:val="26"/>
          <w:szCs w:val="26"/>
          <w:u w:val="single"/>
          <w:shd w:val="clear" w:color="auto" w:fill="FFFFFF"/>
        </w:rPr>
      </w:pPr>
      <w:bookmarkStart w:id="2" w:name="_Hlk204097594"/>
      <w:r w:rsidRPr="00064E18">
        <w:rPr>
          <w:rFonts w:ascii="Aptos" w:eastAsia="Times New Roman" w:hAnsi="Aptos" w:cs="Helvetica"/>
          <w:b/>
          <w:bCs/>
          <w:sz w:val="26"/>
          <w:szCs w:val="26"/>
          <w:u w:val="single"/>
          <w:shd w:val="clear" w:color="auto" w:fill="FFFFFF"/>
        </w:rPr>
        <w:lastRenderedPageBreak/>
        <w:t>House Bill 913 / Senate Bill 1742 – Summary of Legislation</w:t>
      </w:r>
    </w:p>
    <w:p w14:paraId="03AB6158" w14:textId="77777777" w:rsidR="009A4A8B" w:rsidRPr="002367B4" w:rsidRDefault="009A4A8B" w:rsidP="009A4A8B">
      <w:pPr>
        <w:spacing w:after="0" w:line="240" w:lineRule="auto"/>
        <w:jc w:val="both"/>
        <w:rPr>
          <w:rFonts w:ascii="Aptos" w:eastAsia="Times New Roman" w:hAnsi="Aptos" w:cs="Helvetica"/>
          <w:sz w:val="6"/>
          <w:szCs w:val="6"/>
          <w:shd w:val="clear" w:color="auto" w:fill="FFFFFF"/>
        </w:rPr>
      </w:pPr>
    </w:p>
    <w:p w14:paraId="60C21A86"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sidRPr="008E0EA7">
        <w:rPr>
          <w:rFonts w:ascii="Aptos" w:eastAsia="Times New Roman" w:hAnsi="Aptos" w:cs="Helvetica"/>
          <w:b/>
          <w:bCs/>
          <w:sz w:val="26"/>
          <w:szCs w:val="26"/>
          <w:shd w:val="clear" w:color="auto" w:fill="FFFFFF"/>
        </w:rPr>
        <w:t>Milestone Inspections</w:t>
      </w:r>
    </w:p>
    <w:p w14:paraId="1180714E" w14:textId="77777777" w:rsidR="009A4A8B" w:rsidRPr="008E0EA7" w:rsidRDefault="009A4A8B" w:rsidP="009A4A8B">
      <w:pPr>
        <w:spacing w:after="0" w:line="240" w:lineRule="auto"/>
        <w:jc w:val="both"/>
        <w:rPr>
          <w:rFonts w:ascii="Aptos" w:eastAsia="Times New Roman" w:hAnsi="Aptos" w:cs="Helvetica"/>
          <w:b/>
          <w:bCs/>
          <w:i/>
          <w:iCs/>
          <w:shd w:val="clear" w:color="auto" w:fill="FFFFFF"/>
        </w:rPr>
      </w:pPr>
      <w:r w:rsidRPr="008E0EA7">
        <w:rPr>
          <w:rFonts w:ascii="Aptos" w:eastAsia="Times New Roman" w:hAnsi="Aptos" w:cs="Helvetica"/>
          <w:b/>
          <w:bCs/>
          <w:i/>
          <w:iCs/>
          <w:shd w:val="clear" w:color="auto" w:fill="FFFFFF"/>
        </w:rPr>
        <w:t xml:space="preserve">Regarding Milestone Inspections </w:t>
      </w:r>
      <w:r>
        <w:rPr>
          <w:rFonts w:ascii="Aptos" w:eastAsia="Times New Roman" w:hAnsi="Aptos" w:cs="Helvetica"/>
          <w:b/>
          <w:bCs/>
          <w:i/>
          <w:iCs/>
          <w:shd w:val="clear" w:color="auto" w:fill="FFFFFF"/>
        </w:rPr>
        <w:t xml:space="preserve">for </w:t>
      </w:r>
      <w:r w:rsidRPr="008E0EA7">
        <w:rPr>
          <w:rFonts w:ascii="Aptos" w:eastAsia="Times New Roman" w:hAnsi="Aptos" w:cs="Helvetica"/>
          <w:b/>
          <w:bCs/>
          <w:i/>
          <w:iCs/>
          <w:shd w:val="clear" w:color="auto" w:fill="FFFFFF"/>
        </w:rPr>
        <w:t>condominium and cooperative buildings, the bill:</w:t>
      </w:r>
    </w:p>
    <w:p w14:paraId="07878306"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Revises the requirements for </w:t>
      </w:r>
      <w:r>
        <w:rPr>
          <w:rFonts w:ascii="Aptos" w:eastAsia="Times New Roman" w:hAnsi="Aptos" w:cs="Helvetica"/>
          <w:b/>
          <w:bCs/>
          <w:shd w:val="clear" w:color="auto" w:fill="FFFFFF"/>
        </w:rPr>
        <w:t>Milestone Inspections</w:t>
      </w:r>
      <w:r>
        <w:rPr>
          <w:rFonts w:ascii="Aptos" w:eastAsia="Times New Roman" w:hAnsi="Aptos" w:cs="Helvetica"/>
          <w:shd w:val="clear" w:color="auto" w:fill="FFFFFF"/>
        </w:rPr>
        <w:t xml:space="preserve"> to apply to condominium and cooperative buildings that are three “HABITABLE” stories </w:t>
      </w:r>
      <w:bookmarkEnd w:id="2"/>
      <w:r>
        <w:rPr>
          <w:rFonts w:ascii="Aptos" w:eastAsia="Times New Roman" w:hAnsi="Aptos" w:cs="Helvetica"/>
          <w:shd w:val="clear" w:color="auto" w:fill="FFFFFF"/>
        </w:rPr>
        <w:t xml:space="preserve">or more in height instead of three or more stories under current law. Habitable spaces include areas intended for living, sleeping, eating, or cooking. Areas such as garages, storage rooms, hallways, and closets are not considered habitable. </w:t>
      </w:r>
    </w:p>
    <w:p w14:paraId="74BA2DCE"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57C339F"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Requires the Office of Program Policy and Government Accountability to compile </w:t>
      </w:r>
      <w:r>
        <w:rPr>
          <w:rFonts w:ascii="Aptos" w:eastAsia="Times New Roman" w:hAnsi="Aptos" w:cs="Helvetica"/>
          <w:b/>
          <w:bCs/>
          <w:shd w:val="clear" w:color="auto" w:fill="FFFFFF"/>
        </w:rPr>
        <w:t>Milestone Inspection</w:t>
      </w:r>
      <w:r>
        <w:rPr>
          <w:rFonts w:ascii="Aptos" w:eastAsia="Times New Roman" w:hAnsi="Aptos" w:cs="Helvetica"/>
          <w:shd w:val="clear" w:color="auto" w:fill="FFFFFF"/>
        </w:rPr>
        <w:t xml:space="preserve"> data and to submit a report to the Legislature.</w:t>
      </w:r>
    </w:p>
    <w:p w14:paraId="28D510F0" w14:textId="77777777" w:rsidR="009A4A8B" w:rsidRPr="00945C78" w:rsidRDefault="009A4A8B" w:rsidP="009A4A8B">
      <w:pPr>
        <w:spacing w:after="0" w:line="240" w:lineRule="auto"/>
        <w:jc w:val="both"/>
        <w:rPr>
          <w:rFonts w:ascii="Aptos" w:eastAsia="Times New Roman" w:hAnsi="Aptos" w:cs="Helvetica"/>
          <w:shd w:val="clear" w:color="auto" w:fill="FFFFFF"/>
        </w:rPr>
      </w:pPr>
    </w:p>
    <w:p w14:paraId="10F7872E"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sidRPr="00B750FE">
        <w:rPr>
          <w:rFonts w:ascii="Aptos" w:eastAsia="Times New Roman" w:hAnsi="Aptos" w:cs="Helvetica"/>
          <w:b/>
          <w:bCs/>
          <w:sz w:val="26"/>
          <w:szCs w:val="26"/>
          <w:shd w:val="clear" w:color="auto" w:fill="FFFFFF"/>
        </w:rPr>
        <w:t>Structural Integrity Reserve Study (SIRS)</w:t>
      </w:r>
    </w:p>
    <w:p w14:paraId="0309A7D6" w14:textId="77777777" w:rsidR="009A4A8B" w:rsidRPr="00B750FE" w:rsidRDefault="009A4A8B" w:rsidP="009A4A8B">
      <w:pPr>
        <w:spacing w:after="0" w:line="240" w:lineRule="auto"/>
        <w:jc w:val="both"/>
        <w:rPr>
          <w:rFonts w:ascii="Aptos" w:eastAsia="Times New Roman" w:hAnsi="Aptos" w:cs="Helvetica"/>
          <w:b/>
          <w:bCs/>
          <w:i/>
          <w:iCs/>
          <w:shd w:val="clear" w:color="auto" w:fill="FFFFFF"/>
        </w:rPr>
      </w:pPr>
      <w:r>
        <w:rPr>
          <w:rFonts w:ascii="Aptos" w:eastAsia="Times New Roman" w:hAnsi="Aptos" w:cs="Helvetica"/>
          <w:b/>
          <w:bCs/>
          <w:i/>
          <w:iCs/>
          <w:shd w:val="clear" w:color="auto" w:fill="FFFFFF"/>
        </w:rPr>
        <w:t>Relating to condominium and cooperative associations, the bill:</w:t>
      </w:r>
    </w:p>
    <w:p w14:paraId="24787218" w14:textId="77777777" w:rsidR="009A4A8B" w:rsidRPr="00B750FE"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b/>
          <w:bCs/>
          <w:shd w:val="clear" w:color="auto" w:fill="FFFFFF"/>
        </w:rPr>
        <w:t xml:space="preserve">Structural Integrity Reserve Study (SIRS) </w:t>
      </w:r>
      <w:r>
        <w:rPr>
          <w:rFonts w:ascii="Aptos" w:eastAsia="Times New Roman" w:hAnsi="Aptos" w:cs="Helvetica"/>
          <w:shd w:val="clear" w:color="auto" w:fill="FFFFFF"/>
        </w:rPr>
        <w:t xml:space="preserve">are now limited to buildings with three or more HABITABLE stories. Habitable spaces include areas intended for living, sleeping, eating, or cooking. Areas such as garages, storage rooms, hallways, and closets are not considered habitable. </w:t>
      </w:r>
    </w:p>
    <w:p w14:paraId="3BBDC2C9"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79E66F1C" w14:textId="77777777" w:rsidR="009A4A8B" w:rsidRPr="00B750FE"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The bill increases the threshold for non-specified items that must be included in the </w:t>
      </w:r>
      <w:r>
        <w:rPr>
          <w:rFonts w:ascii="Aptos" w:eastAsia="Times New Roman" w:hAnsi="Aptos" w:cs="Helvetica"/>
          <w:b/>
          <w:bCs/>
          <w:shd w:val="clear" w:color="auto" w:fill="FFFFFF"/>
        </w:rPr>
        <w:t xml:space="preserve">Structural Integrity Reserve Study (SIRS) </w:t>
      </w:r>
      <w:r>
        <w:rPr>
          <w:rFonts w:ascii="Aptos" w:eastAsia="Times New Roman" w:hAnsi="Aptos" w:cs="Helvetica"/>
          <w:shd w:val="clear" w:color="auto" w:fill="FFFFFF"/>
        </w:rPr>
        <w:t>from $10,000 to $25,000, or the inflation-adjusted amount determined by the Division, whichever is greater.</w:t>
      </w:r>
    </w:p>
    <w:p w14:paraId="18417A10"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2F47914" w14:textId="77777777" w:rsidR="009A4A8B" w:rsidRPr="00C423B3"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The bill specifies that, at a minimum, an association’s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must include a recommendation for a reserve funding schedule based on a baseline funding plan that provides a reserve funding goal in which the reserve funding for each budget year is sufficient to maintain the reserve cash balance above zero. The bill also allows a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to recommend other types of reserve funding schedules, provided that each recommended schedule is sufficient to meet the association’s maintenance obligation.</w:t>
      </w:r>
    </w:p>
    <w:p w14:paraId="17D5AFC3"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7BC487DB" w14:textId="77777777" w:rsidR="009A4A8B" w:rsidRPr="00B750FE"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Under the bill, if a </w:t>
      </w:r>
      <w:r>
        <w:rPr>
          <w:rFonts w:ascii="Aptos" w:eastAsia="Times New Roman" w:hAnsi="Aptos" w:cs="Helvetica"/>
          <w:b/>
          <w:bCs/>
          <w:shd w:val="clear" w:color="auto" w:fill="FFFFFF"/>
        </w:rPr>
        <w:t>Structural Integrity Reserve Study</w:t>
      </w:r>
      <w:r>
        <w:rPr>
          <w:rFonts w:ascii="Aptos" w:eastAsia="Times New Roman" w:hAnsi="Aptos" w:cs="Helvetica"/>
          <w:shd w:val="clear" w:color="auto" w:fill="FFFFFF"/>
        </w:rPr>
        <w:t xml:space="preserve"> </w:t>
      </w:r>
      <w:r>
        <w:rPr>
          <w:rFonts w:ascii="Aptos" w:eastAsia="Times New Roman" w:hAnsi="Aptos" w:cs="Helvetica"/>
          <w:b/>
          <w:bCs/>
          <w:shd w:val="clear" w:color="auto" w:fill="FFFFFF"/>
        </w:rPr>
        <w:t>(SIRS)</w:t>
      </w:r>
      <w:r>
        <w:rPr>
          <w:rFonts w:ascii="Aptos" w:eastAsia="Times New Roman" w:hAnsi="Aptos" w:cs="Helvetica"/>
          <w:shd w:val="clear" w:color="auto" w:fill="FFFFFF"/>
        </w:rPr>
        <w:t xml:space="preserve"> recommends reserve for any item for which reserves are not required, the amount of the recommended reserves for such item must be separately identified in the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as an item for which reserves are not required.</w:t>
      </w:r>
    </w:p>
    <w:p w14:paraId="3D9CC95B"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42E57802" w14:textId="77777777" w:rsidR="009A4A8B" w:rsidRPr="00945C78"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The bill requires the association’s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to take into consideration the funding method or methods used by the association to fund its maintenance and reserve funding obligations through regular assessments, special assessments, lines of credit, or loans. If the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is performed before the association has approved a special assessment or secured a line of credit or a loan, the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must be updated to reflect the funding method selected by the association and its effect on the reserve funding schedule, including any anticipated change in the amount of regular assessments.</w:t>
      </w:r>
    </w:p>
    <w:p w14:paraId="7839B74B" w14:textId="77777777" w:rsidR="009A4A8B" w:rsidRPr="00945C78" w:rsidRDefault="009A4A8B" w:rsidP="009A4A8B">
      <w:pPr>
        <w:spacing w:after="0" w:line="240" w:lineRule="auto"/>
        <w:jc w:val="both"/>
        <w:rPr>
          <w:rFonts w:ascii="Aptos" w:eastAsia="Times New Roman" w:hAnsi="Aptos" w:cs="Helvetica"/>
          <w:sz w:val="18"/>
          <w:szCs w:val="18"/>
          <w:shd w:val="clear" w:color="auto" w:fill="FFFFFF"/>
        </w:rPr>
      </w:pPr>
    </w:p>
    <w:p w14:paraId="5939BEE4"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Requires that the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must differentiate between mandatory reserve items and other reserve items.</w:t>
      </w:r>
    </w:p>
    <w:p w14:paraId="175D1A68" w14:textId="77777777" w:rsidR="009A4A8B" w:rsidRPr="00C423B3" w:rsidRDefault="009A4A8B" w:rsidP="009A4A8B">
      <w:pPr>
        <w:pStyle w:val="ListParagraph"/>
        <w:rPr>
          <w:rFonts w:ascii="Aptos" w:eastAsia="Times New Roman" w:hAnsi="Aptos" w:cs="Helvetica"/>
          <w:shd w:val="clear" w:color="auto" w:fill="FFFFFF"/>
        </w:rPr>
      </w:pPr>
    </w:p>
    <w:p w14:paraId="69CAB8A2" w14:textId="77777777" w:rsidR="009A4A8B" w:rsidRPr="00C423B3"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The bill extends the deadline for condominium associations existing on or before July 1, 2022, which are controlled by unit owners other than the developer, to have a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completed by December 31</w:t>
      </w:r>
      <w:r w:rsidRPr="00945C78">
        <w:rPr>
          <w:rFonts w:ascii="Aptos" w:eastAsia="Times New Roman" w:hAnsi="Aptos" w:cs="Helvetica"/>
          <w:shd w:val="clear" w:color="auto" w:fill="FFFFFF"/>
          <w:vertAlign w:val="superscript"/>
        </w:rPr>
        <w:t>st</w:t>
      </w:r>
      <w:r>
        <w:rPr>
          <w:rFonts w:ascii="Aptos" w:eastAsia="Times New Roman" w:hAnsi="Aptos" w:cs="Helvetica"/>
          <w:shd w:val="clear" w:color="auto" w:fill="FFFFFF"/>
        </w:rPr>
        <w:t xml:space="preserve">, </w:t>
      </w:r>
      <w:proofErr w:type="gramStart"/>
      <w:r>
        <w:rPr>
          <w:rFonts w:ascii="Aptos" w:eastAsia="Times New Roman" w:hAnsi="Aptos" w:cs="Helvetica"/>
          <w:shd w:val="clear" w:color="auto" w:fill="FFFFFF"/>
        </w:rPr>
        <w:t>2024</w:t>
      </w:r>
      <w:proofErr w:type="gramEnd"/>
      <w:r>
        <w:rPr>
          <w:rFonts w:ascii="Aptos" w:eastAsia="Times New Roman" w:hAnsi="Aptos" w:cs="Helvetica"/>
          <w:shd w:val="clear" w:color="auto" w:fill="FFFFFF"/>
        </w:rPr>
        <w:t xml:space="preserve"> to December 31</w:t>
      </w:r>
      <w:r w:rsidRPr="00945C78">
        <w:rPr>
          <w:rFonts w:ascii="Aptos" w:eastAsia="Times New Roman" w:hAnsi="Aptos" w:cs="Helvetica"/>
          <w:shd w:val="clear" w:color="auto" w:fill="FFFFFF"/>
          <w:vertAlign w:val="superscript"/>
        </w:rPr>
        <w:t>st</w:t>
      </w:r>
      <w:r>
        <w:rPr>
          <w:rFonts w:ascii="Aptos" w:eastAsia="Times New Roman" w:hAnsi="Aptos" w:cs="Helvetica"/>
          <w:shd w:val="clear" w:color="auto" w:fill="FFFFFF"/>
        </w:rPr>
        <w:t>, 2025.</w:t>
      </w:r>
    </w:p>
    <w:p w14:paraId="211A092D"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7EDED384"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Requires directors and officers of the association to sign an affidavit acknowledging receipt of a completed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w:t>
      </w:r>
    </w:p>
    <w:p w14:paraId="45657CCB" w14:textId="77777777" w:rsidR="009A4A8B" w:rsidRDefault="009A4A8B" w:rsidP="009A4A8B">
      <w:pPr>
        <w:spacing w:after="0"/>
        <w:rPr>
          <w:rFonts w:ascii="Aptos" w:eastAsia="Times New Roman" w:hAnsi="Aptos" w:cs="Helvetica"/>
          <w:b/>
          <w:bCs/>
          <w:shd w:val="clear" w:color="auto" w:fill="FFFFFF"/>
        </w:rPr>
      </w:pPr>
    </w:p>
    <w:p w14:paraId="61714BBD" w14:textId="77777777" w:rsidR="009A4A8B" w:rsidRPr="00A6675C" w:rsidRDefault="009A4A8B" w:rsidP="009A4A8B">
      <w:pPr>
        <w:spacing w:after="0"/>
        <w:rPr>
          <w:rFonts w:ascii="Aptos" w:eastAsia="Times New Roman" w:hAnsi="Aptos" w:cs="Helvetica"/>
          <w:b/>
          <w:bCs/>
          <w:sz w:val="6"/>
          <w:szCs w:val="6"/>
          <w:shd w:val="clear" w:color="auto" w:fill="FFFFFF"/>
        </w:rPr>
      </w:pPr>
    </w:p>
    <w:p w14:paraId="52738340" w14:textId="77777777" w:rsidR="009A4A8B" w:rsidRPr="00064E18" w:rsidRDefault="009A4A8B" w:rsidP="009A4A8B">
      <w:pPr>
        <w:spacing w:after="0" w:line="240" w:lineRule="auto"/>
        <w:jc w:val="both"/>
        <w:rPr>
          <w:rFonts w:ascii="Aptos" w:eastAsia="Times New Roman" w:hAnsi="Aptos" w:cs="Helvetica"/>
          <w:b/>
          <w:bCs/>
          <w:sz w:val="26"/>
          <w:szCs w:val="26"/>
          <w:u w:val="single"/>
          <w:shd w:val="clear" w:color="auto" w:fill="FFFFFF"/>
        </w:rPr>
      </w:pPr>
      <w:r w:rsidRPr="00064E18">
        <w:rPr>
          <w:rFonts w:ascii="Aptos" w:eastAsia="Times New Roman" w:hAnsi="Aptos" w:cs="Helvetica"/>
          <w:b/>
          <w:bCs/>
          <w:sz w:val="26"/>
          <w:szCs w:val="26"/>
          <w:u w:val="single"/>
          <w:shd w:val="clear" w:color="auto" w:fill="FFFFFF"/>
        </w:rPr>
        <w:lastRenderedPageBreak/>
        <w:t>House Bill 913 / Senate Bill 1742 – Summary of Legislation</w:t>
      </w:r>
    </w:p>
    <w:p w14:paraId="347F162D" w14:textId="77777777" w:rsidR="009A4A8B" w:rsidRPr="002367B4" w:rsidRDefault="009A4A8B" w:rsidP="009A4A8B">
      <w:pPr>
        <w:spacing w:after="0" w:line="240" w:lineRule="auto"/>
        <w:jc w:val="both"/>
        <w:rPr>
          <w:rFonts w:ascii="Aptos" w:eastAsia="Times New Roman" w:hAnsi="Aptos" w:cs="Helvetica"/>
          <w:sz w:val="6"/>
          <w:szCs w:val="6"/>
          <w:shd w:val="clear" w:color="auto" w:fill="FFFFFF"/>
        </w:rPr>
      </w:pPr>
    </w:p>
    <w:p w14:paraId="0A8293B8"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Pr>
          <w:rFonts w:ascii="Aptos" w:eastAsia="Times New Roman" w:hAnsi="Aptos" w:cs="Helvetica"/>
          <w:b/>
          <w:bCs/>
          <w:sz w:val="26"/>
          <w:szCs w:val="26"/>
          <w:shd w:val="clear" w:color="auto" w:fill="FFFFFF"/>
        </w:rPr>
        <w:t>Conflict of Interest – Milestone Inspections and Structural Integrity Reserve Study</w:t>
      </w:r>
    </w:p>
    <w:p w14:paraId="4E69A560"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The bill requires design professionals, e.g., architects and engineers, and licensed contractors who bid on the </w:t>
      </w:r>
      <w:r>
        <w:rPr>
          <w:rFonts w:ascii="Aptos" w:eastAsia="Times New Roman" w:hAnsi="Aptos" w:cs="Helvetica"/>
          <w:b/>
          <w:bCs/>
          <w:shd w:val="clear" w:color="auto" w:fill="FFFFFF"/>
        </w:rPr>
        <w:t>Structural Integrity Reserve Studies (SIRS)</w:t>
      </w:r>
      <w:r>
        <w:rPr>
          <w:rFonts w:ascii="Aptos" w:eastAsia="Times New Roman" w:hAnsi="Aptos" w:cs="Helvetica"/>
          <w:shd w:val="clear" w:color="auto" w:fill="FFFFFF"/>
        </w:rPr>
        <w:t xml:space="preserve"> and </w:t>
      </w:r>
      <w:r>
        <w:rPr>
          <w:rFonts w:ascii="Aptos" w:eastAsia="Times New Roman" w:hAnsi="Aptos" w:cs="Helvetica"/>
          <w:b/>
          <w:bCs/>
          <w:shd w:val="clear" w:color="auto" w:fill="FFFFFF"/>
        </w:rPr>
        <w:t>Milestone Inspections</w:t>
      </w:r>
      <w:r>
        <w:rPr>
          <w:rFonts w:ascii="Aptos" w:eastAsia="Times New Roman" w:hAnsi="Aptos" w:cs="Helvetica"/>
          <w:shd w:val="clear" w:color="auto" w:fill="FFFFFF"/>
        </w:rPr>
        <w:t xml:space="preserve">, to disclose in writing if they intend to bid on maintenance, repair, or replacement work related to the </w:t>
      </w:r>
      <w:r>
        <w:rPr>
          <w:rFonts w:ascii="Aptos" w:eastAsia="Times New Roman" w:hAnsi="Aptos" w:cs="Helvetica"/>
          <w:b/>
          <w:bCs/>
          <w:shd w:val="clear" w:color="auto" w:fill="FFFFFF"/>
        </w:rPr>
        <w:t>SIRS</w:t>
      </w:r>
      <w:r>
        <w:rPr>
          <w:rFonts w:ascii="Aptos" w:eastAsia="Times New Roman" w:hAnsi="Aptos" w:cs="Helvetica"/>
          <w:shd w:val="clear" w:color="auto" w:fill="FFFFFF"/>
        </w:rPr>
        <w:t xml:space="preserve">. A person who conducts or performs a </w:t>
      </w:r>
      <w:r>
        <w:rPr>
          <w:rFonts w:ascii="Aptos" w:eastAsia="Times New Roman" w:hAnsi="Aptos" w:cs="Helvetica"/>
          <w:b/>
          <w:bCs/>
          <w:shd w:val="clear" w:color="auto" w:fill="FFFFFF"/>
        </w:rPr>
        <w:t>SIRS</w:t>
      </w:r>
      <w:r>
        <w:rPr>
          <w:rFonts w:ascii="Aptos" w:eastAsia="Times New Roman" w:hAnsi="Aptos" w:cs="Helvetica"/>
          <w:shd w:val="clear" w:color="auto" w:fill="FFFFFF"/>
        </w:rPr>
        <w:t xml:space="preserve"> or </w:t>
      </w:r>
      <w:r>
        <w:rPr>
          <w:rFonts w:ascii="Aptos" w:eastAsia="Times New Roman" w:hAnsi="Aptos" w:cs="Helvetica"/>
          <w:b/>
          <w:bCs/>
          <w:shd w:val="clear" w:color="auto" w:fill="FFFFFF"/>
        </w:rPr>
        <w:t>Milestone Inspection</w:t>
      </w:r>
      <w:r>
        <w:rPr>
          <w:rFonts w:ascii="Aptos" w:eastAsia="Times New Roman" w:hAnsi="Aptos" w:cs="Helvetica"/>
          <w:shd w:val="clear" w:color="auto" w:fill="FFFFFF"/>
        </w:rPr>
        <w:t xml:space="preserve"> or provides recommended services may not have a direct or indirect interest in the firm conducting the study or be related to someone with such an interest unless disclosed to the association in writing. Failure to disclose makes the contract voidable and may result in professional discipline.</w:t>
      </w:r>
    </w:p>
    <w:p w14:paraId="45FA422B" w14:textId="77777777" w:rsidR="009A4A8B" w:rsidRDefault="009A4A8B" w:rsidP="009A4A8B">
      <w:pPr>
        <w:spacing w:after="0" w:line="240" w:lineRule="auto"/>
        <w:jc w:val="both"/>
        <w:rPr>
          <w:rFonts w:ascii="Aptos" w:eastAsia="Times New Roman" w:hAnsi="Aptos" w:cs="Helvetica"/>
          <w:shd w:val="clear" w:color="auto" w:fill="FFFFFF"/>
        </w:rPr>
      </w:pPr>
    </w:p>
    <w:p w14:paraId="2CC953D9"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Pr>
          <w:rFonts w:ascii="Aptos" w:eastAsia="Times New Roman" w:hAnsi="Aptos" w:cs="Helvetica"/>
          <w:b/>
          <w:bCs/>
          <w:sz w:val="26"/>
          <w:szCs w:val="26"/>
          <w:shd w:val="clear" w:color="auto" w:fill="FFFFFF"/>
        </w:rPr>
        <w:t>Annual Financial Statements</w:t>
      </w:r>
    </w:p>
    <w:p w14:paraId="42A278B5" w14:textId="77777777" w:rsidR="009A4A8B" w:rsidRPr="00B750FE" w:rsidRDefault="009A4A8B" w:rsidP="009A4A8B">
      <w:pPr>
        <w:spacing w:after="0" w:line="240" w:lineRule="auto"/>
        <w:jc w:val="both"/>
        <w:rPr>
          <w:rFonts w:ascii="Aptos" w:eastAsia="Times New Roman" w:hAnsi="Aptos" w:cs="Helvetica"/>
          <w:b/>
          <w:bCs/>
          <w:i/>
          <w:iCs/>
          <w:shd w:val="clear" w:color="auto" w:fill="FFFFFF"/>
        </w:rPr>
      </w:pPr>
      <w:r>
        <w:rPr>
          <w:rFonts w:ascii="Aptos" w:eastAsia="Times New Roman" w:hAnsi="Aptos" w:cs="Helvetica"/>
          <w:b/>
          <w:bCs/>
          <w:i/>
          <w:iCs/>
          <w:shd w:val="clear" w:color="auto" w:fill="FFFFFF"/>
        </w:rPr>
        <w:t>The bill revises the annual financial statement requirements for condominiums by:</w:t>
      </w:r>
    </w:p>
    <w:p w14:paraId="6DFD9F87"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Increasing from 120 days to 180 days, the date by which the financial report must be completed after the end of the fiscal year.</w:t>
      </w:r>
    </w:p>
    <w:p w14:paraId="35DDEDD6"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1DFA04E2"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Allowing the association, as an alternative to delivering the annual financial statement, to provide a notice that the financial report will be mailed, hand </w:t>
      </w:r>
      <w:proofErr w:type="gramStart"/>
      <w:r>
        <w:rPr>
          <w:rFonts w:ascii="Aptos" w:eastAsia="Times New Roman" w:hAnsi="Aptos" w:cs="Helvetica"/>
          <w:shd w:val="clear" w:color="auto" w:fill="FFFFFF"/>
        </w:rPr>
        <w:t>delivered, or</w:t>
      </w:r>
      <w:proofErr w:type="gramEnd"/>
      <w:r>
        <w:rPr>
          <w:rFonts w:ascii="Aptos" w:eastAsia="Times New Roman" w:hAnsi="Aptos" w:cs="Helvetica"/>
          <w:shd w:val="clear" w:color="auto" w:fill="FFFFFF"/>
        </w:rPr>
        <w:t xml:space="preserve"> provided electronically via the internet as requested by the unit owner.</w:t>
      </w:r>
    </w:p>
    <w:p w14:paraId="1B9A1949"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01C8CE6E"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Requiring that an officer or director of the association sign an affidavit evidencing compliance with the requirements for delivery of the annual statement.</w:t>
      </w:r>
    </w:p>
    <w:p w14:paraId="0FA3FB53"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0ED5CD3" w14:textId="77777777" w:rsidR="009A4A8B" w:rsidRPr="009307F3"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Requiring the approval of a majority of </w:t>
      </w:r>
      <w:proofErr w:type="gramStart"/>
      <w:r>
        <w:rPr>
          <w:rFonts w:ascii="Aptos" w:eastAsia="Times New Roman" w:hAnsi="Aptos" w:cs="Helvetica"/>
          <w:shd w:val="clear" w:color="auto" w:fill="FFFFFF"/>
        </w:rPr>
        <w:t>all of</w:t>
      </w:r>
      <w:proofErr w:type="gramEnd"/>
      <w:r>
        <w:rPr>
          <w:rFonts w:ascii="Aptos" w:eastAsia="Times New Roman" w:hAnsi="Aptos" w:cs="Helvetica"/>
          <w:shd w:val="clear" w:color="auto" w:fill="FFFFFF"/>
        </w:rPr>
        <w:t xml:space="preserve"> the voting interests to reduce the type of financial reporting.</w:t>
      </w:r>
    </w:p>
    <w:p w14:paraId="4D0EC193" w14:textId="77777777" w:rsidR="009A4A8B" w:rsidRDefault="009A4A8B" w:rsidP="009A4A8B">
      <w:pPr>
        <w:spacing w:after="0" w:line="240" w:lineRule="auto"/>
        <w:jc w:val="both"/>
        <w:rPr>
          <w:rFonts w:ascii="Aptos" w:eastAsia="Times New Roman" w:hAnsi="Aptos" w:cs="Helvetica"/>
          <w:shd w:val="clear" w:color="auto" w:fill="FFFFFF"/>
        </w:rPr>
      </w:pPr>
    </w:p>
    <w:p w14:paraId="4A2503B6"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Pr>
          <w:rFonts w:ascii="Aptos" w:eastAsia="Times New Roman" w:hAnsi="Aptos" w:cs="Helvetica"/>
          <w:b/>
          <w:bCs/>
          <w:sz w:val="26"/>
          <w:szCs w:val="26"/>
          <w:shd w:val="clear" w:color="auto" w:fill="FFFFFF"/>
        </w:rPr>
        <w:t>Official Records</w:t>
      </w:r>
    </w:p>
    <w:p w14:paraId="090C38C2" w14:textId="77777777" w:rsidR="009A4A8B" w:rsidRPr="00B750FE" w:rsidRDefault="009A4A8B" w:rsidP="009A4A8B">
      <w:pPr>
        <w:spacing w:after="0" w:line="240" w:lineRule="auto"/>
        <w:jc w:val="both"/>
        <w:rPr>
          <w:rFonts w:ascii="Aptos" w:eastAsia="Times New Roman" w:hAnsi="Aptos" w:cs="Helvetica"/>
          <w:b/>
          <w:bCs/>
          <w:i/>
          <w:iCs/>
          <w:shd w:val="clear" w:color="auto" w:fill="FFFFFF"/>
        </w:rPr>
      </w:pPr>
      <w:r>
        <w:rPr>
          <w:rFonts w:ascii="Aptos" w:eastAsia="Times New Roman" w:hAnsi="Aptos" w:cs="Helvetica"/>
          <w:b/>
          <w:bCs/>
          <w:i/>
          <w:iCs/>
          <w:shd w:val="clear" w:color="auto" w:fill="FFFFFF"/>
        </w:rPr>
        <w:t>The bill requires condominium associations to keep an official record of all:</w:t>
      </w:r>
    </w:p>
    <w:p w14:paraId="34EA2393"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Bank statements and ledgers.</w:t>
      </w:r>
    </w:p>
    <w:p w14:paraId="1563819E"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5703B41"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Recordings of meetings held by video conference.</w:t>
      </w:r>
    </w:p>
    <w:p w14:paraId="5D9DF092"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0F230794"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Affidavits required by Florida Statute 718, including on the association’s website.</w:t>
      </w:r>
    </w:p>
    <w:p w14:paraId="4DE679E1"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1DDE80A9"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Approved minutes of the board over the preceding 12 months on the association’s website.</w:t>
      </w:r>
    </w:p>
    <w:p w14:paraId="7BFA97A7"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5798CDB7"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Associations must update the association’s website within 30 days of any change.</w:t>
      </w:r>
    </w:p>
    <w:p w14:paraId="1C18BCA0" w14:textId="77777777" w:rsidR="009A4A8B" w:rsidRDefault="009A4A8B" w:rsidP="009A4A8B">
      <w:pPr>
        <w:spacing w:after="0" w:line="240" w:lineRule="auto"/>
        <w:jc w:val="both"/>
        <w:rPr>
          <w:rFonts w:ascii="Aptos" w:eastAsia="Times New Roman" w:hAnsi="Aptos" w:cs="Helvetica"/>
          <w:shd w:val="clear" w:color="auto" w:fill="FFFFFF"/>
        </w:rPr>
      </w:pPr>
    </w:p>
    <w:p w14:paraId="7C09031D"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Pr>
          <w:rFonts w:ascii="Aptos" w:eastAsia="Times New Roman" w:hAnsi="Aptos" w:cs="Helvetica"/>
          <w:b/>
          <w:bCs/>
          <w:sz w:val="26"/>
          <w:szCs w:val="26"/>
          <w:shd w:val="clear" w:color="auto" w:fill="FFFFFF"/>
        </w:rPr>
        <w:t>Insurance</w:t>
      </w:r>
    </w:p>
    <w:p w14:paraId="00C96A32" w14:textId="77777777" w:rsidR="009A4A8B" w:rsidRPr="00B750FE" w:rsidRDefault="009A4A8B" w:rsidP="009A4A8B">
      <w:pPr>
        <w:spacing w:after="0" w:line="240" w:lineRule="auto"/>
        <w:jc w:val="both"/>
        <w:rPr>
          <w:rFonts w:ascii="Aptos" w:eastAsia="Times New Roman" w:hAnsi="Aptos" w:cs="Helvetica"/>
          <w:b/>
          <w:bCs/>
          <w:i/>
          <w:iCs/>
          <w:shd w:val="clear" w:color="auto" w:fill="FFFFFF"/>
        </w:rPr>
      </w:pPr>
      <w:r>
        <w:rPr>
          <w:rFonts w:ascii="Aptos" w:eastAsia="Times New Roman" w:hAnsi="Aptos" w:cs="Helvetica"/>
          <w:b/>
          <w:bCs/>
          <w:i/>
          <w:iCs/>
          <w:shd w:val="clear" w:color="auto" w:fill="FFFFFF"/>
        </w:rPr>
        <w:t>The bill requires every condominium association to provide adequate property insurance, and:</w:t>
      </w:r>
    </w:p>
    <w:p w14:paraId="49FBC0FA"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That the amount of adequate insurance coverage for full insurable value, replacement cost, or similar coverage may be based on the replacement cost of the property to be insured which must be determined at least once every three years.</w:t>
      </w:r>
    </w:p>
    <w:p w14:paraId="5A27153B"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86658A5"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Clarifies the association’s obligation to provide adequate insurance coverage for at least three or more communities may be satisfied by obtaining and maintaining insurance coverage sufficient to cover an amount equal to the probable maximum loss for the communities for a 250-year windstorm event. The review and approval must include approval of the policy and related forms pursuant to ss. 627.410 and 627.411, approval of the rates pursuant to 627.062.</w:t>
      </w:r>
    </w:p>
    <w:p w14:paraId="79636E1B" w14:textId="77777777" w:rsidR="009A4A8B" w:rsidRDefault="009A4A8B" w:rsidP="009A4A8B">
      <w:pPr>
        <w:spacing w:after="0" w:line="240" w:lineRule="auto"/>
        <w:jc w:val="both"/>
        <w:rPr>
          <w:rFonts w:ascii="Aptos" w:eastAsia="Times New Roman" w:hAnsi="Aptos" w:cs="Helvetica"/>
          <w:shd w:val="clear" w:color="auto" w:fill="FFFFFF"/>
        </w:rPr>
      </w:pPr>
    </w:p>
    <w:p w14:paraId="7683FC8A" w14:textId="77777777" w:rsidR="009A4A8B" w:rsidRDefault="009A4A8B" w:rsidP="009A4A8B">
      <w:pPr>
        <w:spacing w:after="0" w:line="240" w:lineRule="auto"/>
        <w:jc w:val="both"/>
        <w:rPr>
          <w:rFonts w:ascii="Aptos" w:eastAsia="Times New Roman" w:hAnsi="Aptos" w:cs="Helvetica"/>
          <w:shd w:val="clear" w:color="auto" w:fill="FFFFFF"/>
        </w:rPr>
      </w:pPr>
    </w:p>
    <w:p w14:paraId="407C285A" w14:textId="77777777" w:rsidR="009A4A8B" w:rsidRDefault="009A4A8B" w:rsidP="009A4A8B">
      <w:pPr>
        <w:spacing w:after="0" w:line="240" w:lineRule="auto"/>
        <w:jc w:val="both"/>
        <w:rPr>
          <w:rFonts w:ascii="Aptos" w:eastAsia="Times New Roman" w:hAnsi="Aptos" w:cs="Helvetica"/>
          <w:shd w:val="clear" w:color="auto" w:fill="FFFFFF"/>
        </w:rPr>
      </w:pPr>
    </w:p>
    <w:p w14:paraId="7624E606" w14:textId="77777777" w:rsidR="009A4A8B" w:rsidRDefault="009A4A8B" w:rsidP="009A4A8B">
      <w:pPr>
        <w:spacing w:after="0" w:line="240" w:lineRule="auto"/>
        <w:jc w:val="both"/>
        <w:rPr>
          <w:rFonts w:ascii="Aptos" w:eastAsia="Times New Roman" w:hAnsi="Aptos" w:cs="Helvetica"/>
          <w:sz w:val="6"/>
          <w:szCs w:val="6"/>
          <w:shd w:val="clear" w:color="auto" w:fill="FFFFFF"/>
        </w:rPr>
      </w:pPr>
    </w:p>
    <w:p w14:paraId="00997283" w14:textId="77777777" w:rsidR="009A4A8B" w:rsidRDefault="009A4A8B" w:rsidP="009A4A8B">
      <w:pPr>
        <w:spacing w:after="0" w:line="240" w:lineRule="auto"/>
        <w:jc w:val="both"/>
        <w:rPr>
          <w:rFonts w:ascii="Aptos" w:eastAsia="Times New Roman" w:hAnsi="Aptos" w:cs="Helvetica"/>
          <w:sz w:val="6"/>
          <w:szCs w:val="6"/>
          <w:shd w:val="clear" w:color="auto" w:fill="FFFFFF"/>
        </w:rPr>
      </w:pPr>
    </w:p>
    <w:p w14:paraId="19CAC8A9" w14:textId="77777777" w:rsidR="009A4A8B" w:rsidRPr="00A6675C" w:rsidRDefault="009A4A8B" w:rsidP="009A4A8B">
      <w:pPr>
        <w:spacing w:after="0" w:line="240" w:lineRule="auto"/>
        <w:jc w:val="both"/>
        <w:rPr>
          <w:rFonts w:ascii="Aptos" w:eastAsia="Times New Roman" w:hAnsi="Aptos" w:cs="Helvetica"/>
          <w:sz w:val="6"/>
          <w:szCs w:val="6"/>
          <w:shd w:val="clear" w:color="auto" w:fill="FFFFFF"/>
        </w:rPr>
      </w:pPr>
    </w:p>
    <w:p w14:paraId="1380B04C" w14:textId="77777777" w:rsidR="009A4A8B" w:rsidRPr="00064E18" w:rsidRDefault="009A4A8B" w:rsidP="009A4A8B">
      <w:pPr>
        <w:spacing w:after="0" w:line="240" w:lineRule="auto"/>
        <w:jc w:val="both"/>
        <w:rPr>
          <w:rFonts w:ascii="Aptos" w:eastAsia="Times New Roman" w:hAnsi="Aptos" w:cs="Helvetica"/>
          <w:b/>
          <w:bCs/>
          <w:sz w:val="26"/>
          <w:szCs w:val="26"/>
          <w:u w:val="single"/>
          <w:shd w:val="clear" w:color="auto" w:fill="FFFFFF"/>
        </w:rPr>
      </w:pPr>
      <w:r w:rsidRPr="00064E18">
        <w:rPr>
          <w:rFonts w:ascii="Aptos" w:eastAsia="Times New Roman" w:hAnsi="Aptos" w:cs="Helvetica"/>
          <w:b/>
          <w:bCs/>
          <w:sz w:val="26"/>
          <w:szCs w:val="26"/>
          <w:u w:val="single"/>
          <w:shd w:val="clear" w:color="auto" w:fill="FFFFFF"/>
        </w:rPr>
        <w:lastRenderedPageBreak/>
        <w:t>House Bill 913 / Senate Bill 1742 – Summary of Legislation</w:t>
      </w:r>
    </w:p>
    <w:p w14:paraId="4AF81BBA" w14:textId="77777777" w:rsidR="009A4A8B" w:rsidRPr="002367B4" w:rsidRDefault="009A4A8B" w:rsidP="009A4A8B">
      <w:pPr>
        <w:spacing w:after="0" w:line="240" w:lineRule="auto"/>
        <w:jc w:val="both"/>
        <w:rPr>
          <w:rFonts w:ascii="Aptos" w:eastAsia="Times New Roman" w:hAnsi="Aptos" w:cs="Helvetica"/>
          <w:sz w:val="6"/>
          <w:szCs w:val="6"/>
          <w:shd w:val="clear" w:color="auto" w:fill="FFFFFF"/>
        </w:rPr>
      </w:pPr>
    </w:p>
    <w:p w14:paraId="2B4C9509"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Pr>
          <w:rFonts w:ascii="Aptos" w:eastAsia="Times New Roman" w:hAnsi="Aptos" w:cs="Helvetica"/>
          <w:b/>
          <w:bCs/>
          <w:sz w:val="26"/>
          <w:szCs w:val="26"/>
          <w:shd w:val="clear" w:color="auto" w:fill="FFFFFF"/>
        </w:rPr>
        <w:t>Condominium Association Meetings</w:t>
      </w:r>
    </w:p>
    <w:p w14:paraId="33FE4FFD" w14:textId="77777777" w:rsidR="009A4A8B" w:rsidRPr="008E0EA7" w:rsidRDefault="009A4A8B" w:rsidP="009A4A8B">
      <w:pPr>
        <w:spacing w:after="0" w:line="240" w:lineRule="auto"/>
        <w:jc w:val="both"/>
        <w:rPr>
          <w:rFonts w:ascii="Aptos" w:eastAsia="Times New Roman" w:hAnsi="Aptos" w:cs="Helvetica"/>
          <w:b/>
          <w:bCs/>
          <w:i/>
          <w:iCs/>
          <w:shd w:val="clear" w:color="auto" w:fill="FFFFFF"/>
        </w:rPr>
      </w:pPr>
      <w:r>
        <w:rPr>
          <w:rFonts w:ascii="Aptos" w:eastAsia="Times New Roman" w:hAnsi="Aptos" w:cs="Helvetica"/>
          <w:b/>
          <w:bCs/>
          <w:i/>
          <w:iCs/>
          <w:shd w:val="clear" w:color="auto" w:fill="FFFFFF"/>
        </w:rPr>
        <w:t>The bill allows condominium associations to conduct meetings by video conferencing, including board meetings, budget meetings, and unit member meetings, and:</w:t>
      </w:r>
    </w:p>
    <w:p w14:paraId="3E4F6EF5"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proofErr w:type="gramStart"/>
      <w:r>
        <w:rPr>
          <w:rFonts w:ascii="Aptos" w:eastAsia="Times New Roman" w:hAnsi="Aptos" w:cs="Helvetica"/>
          <w:shd w:val="clear" w:color="auto" w:fill="FFFFFF"/>
        </w:rPr>
        <w:t>Allows</w:t>
      </w:r>
      <w:proofErr w:type="gramEnd"/>
      <w:r>
        <w:rPr>
          <w:rFonts w:ascii="Aptos" w:eastAsia="Times New Roman" w:hAnsi="Aptos" w:cs="Helvetica"/>
          <w:shd w:val="clear" w:color="auto" w:fill="FFFFFF"/>
        </w:rPr>
        <w:t xml:space="preserve"> board members who appear </w:t>
      </w:r>
      <w:proofErr w:type="gramStart"/>
      <w:r>
        <w:rPr>
          <w:rFonts w:ascii="Aptos" w:eastAsia="Times New Roman" w:hAnsi="Aptos" w:cs="Helvetica"/>
          <w:shd w:val="clear" w:color="auto" w:fill="FFFFFF"/>
        </w:rPr>
        <w:t>by</w:t>
      </w:r>
      <w:proofErr w:type="gramEnd"/>
      <w:r>
        <w:rPr>
          <w:rFonts w:ascii="Aptos" w:eastAsia="Times New Roman" w:hAnsi="Aptos" w:cs="Helvetica"/>
          <w:shd w:val="clear" w:color="auto" w:fill="FFFFFF"/>
        </w:rPr>
        <w:t xml:space="preserve"> video </w:t>
      </w:r>
      <w:proofErr w:type="gramStart"/>
      <w:r>
        <w:rPr>
          <w:rFonts w:ascii="Aptos" w:eastAsia="Times New Roman" w:hAnsi="Aptos" w:cs="Helvetica"/>
          <w:shd w:val="clear" w:color="auto" w:fill="FFFFFF"/>
        </w:rPr>
        <w:t>conference</w:t>
      </w:r>
      <w:proofErr w:type="gramEnd"/>
      <w:r>
        <w:rPr>
          <w:rFonts w:ascii="Aptos" w:eastAsia="Times New Roman" w:hAnsi="Aptos" w:cs="Helvetica"/>
          <w:shd w:val="clear" w:color="auto" w:fill="FFFFFF"/>
        </w:rPr>
        <w:t xml:space="preserve"> to vote, but their presence may not count towards a quorum.</w:t>
      </w:r>
    </w:p>
    <w:p w14:paraId="086082E0"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798984FE" w14:textId="77777777" w:rsidR="009A4A8B" w:rsidRPr="008C5702"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Requires meetings conducted by video conference to be recorded and kept as official records.</w:t>
      </w:r>
    </w:p>
    <w:p w14:paraId="2BBFF844"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7EA40312"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Requires meetings to be held within 15 miles of the condominium property or within the same county.</w:t>
      </w:r>
    </w:p>
    <w:p w14:paraId="7516B67B" w14:textId="77777777" w:rsidR="009A4A8B" w:rsidRPr="008C5702" w:rsidRDefault="009A4A8B" w:rsidP="009A4A8B">
      <w:pPr>
        <w:pStyle w:val="ListParagraph"/>
        <w:rPr>
          <w:rFonts w:ascii="Aptos" w:eastAsia="Times New Roman" w:hAnsi="Aptos" w:cs="Helvetica"/>
          <w:shd w:val="clear" w:color="auto" w:fill="FFFFFF"/>
        </w:rPr>
      </w:pPr>
    </w:p>
    <w:p w14:paraId="03639116"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Requires that the Meeting Notice for a video conference meeting includes a hyperlink and the address for the physical location of the meeting.</w:t>
      </w:r>
    </w:p>
    <w:p w14:paraId="1DC1AAF9"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9C8CBDB" w14:textId="77777777" w:rsidR="009A4A8B" w:rsidRPr="00530EB6"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Requires the division to adopt rules for the conduct of meetings by video conference.</w:t>
      </w:r>
    </w:p>
    <w:p w14:paraId="17414948" w14:textId="77777777" w:rsidR="009A4A8B" w:rsidRDefault="009A4A8B" w:rsidP="009A4A8B">
      <w:pPr>
        <w:spacing w:after="0"/>
        <w:rPr>
          <w:rFonts w:ascii="Aptos" w:eastAsia="Times New Roman" w:hAnsi="Aptos" w:cs="Helvetica"/>
          <w:b/>
          <w:bCs/>
          <w:shd w:val="clear" w:color="auto" w:fill="FFFFFF"/>
        </w:rPr>
      </w:pPr>
    </w:p>
    <w:p w14:paraId="3EA515E4"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Pr>
          <w:rFonts w:ascii="Aptos" w:eastAsia="Times New Roman" w:hAnsi="Aptos" w:cs="Helvetica"/>
          <w:b/>
          <w:bCs/>
          <w:sz w:val="26"/>
          <w:szCs w:val="26"/>
          <w:shd w:val="clear" w:color="auto" w:fill="FFFFFF"/>
        </w:rPr>
        <w:t>Electronic Voting</w:t>
      </w:r>
    </w:p>
    <w:p w14:paraId="5E459149"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The bill revises electronic voting requirements for condominiums, including requiring the board to adopt a resolution allowing electronic voting if at least 25 percent of the voting interests petition the board to adopt a resolution for electronic voting. </w:t>
      </w:r>
    </w:p>
    <w:p w14:paraId="2DE385F9" w14:textId="77777777" w:rsidR="009A4A8B" w:rsidRDefault="009A4A8B" w:rsidP="009A4A8B">
      <w:pPr>
        <w:spacing w:after="0"/>
        <w:rPr>
          <w:rFonts w:ascii="Aptos" w:eastAsia="Times New Roman" w:hAnsi="Aptos" w:cs="Helvetica"/>
          <w:b/>
          <w:bCs/>
          <w:shd w:val="clear" w:color="auto" w:fill="FFFFFF"/>
        </w:rPr>
      </w:pPr>
    </w:p>
    <w:p w14:paraId="0C975CE1"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proofErr w:type="gramStart"/>
      <w:r>
        <w:rPr>
          <w:rFonts w:ascii="Aptos" w:eastAsia="Times New Roman" w:hAnsi="Aptos" w:cs="Helvetica"/>
          <w:b/>
          <w:bCs/>
          <w:sz w:val="26"/>
          <w:szCs w:val="26"/>
          <w:shd w:val="clear" w:color="auto" w:fill="FFFFFF"/>
        </w:rPr>
        <w:t>Reserves</w:t>
      </w:r>
      <w:proofErr w:type="gramEnd"/>
    </w:p>
    <w:p w14:paraId="25D2D8CA" w14:textId="77777777" w:rsidR="009A4A8B" w:rsidRPr="008E0EA7" w:rsidRDefault="009A4A8B" w:rsidP="009A4A8B">
      <w:pPr>
        <w:spacing w:after="0" w:line="240" w:lineRule="auto"/>
        <w:jc w:val="both"/>
        <w:rPr>
          <w:rFonts w:ascii="Aptos" w:eastAsia="Times New Roman" w:hAnsi="Aptos" w:cs="Helvetica"/>
          <w:b/>
          <w:bCs/>
          <w:i/>
          <w:iCs/>
          <w:shd w:val="clear" w:color="auto" w:fill="FFFFFF"/>
        </w:rPr>
      </w:pPr>
      <w:r>
        <w:rPr>
          <w:rFonts w:ascii="Aptos" w:eastAsia="Times New Roman" w:hAnsi="Aptos" w:cs="Helvetica"/>
          <w:b/>
          <w:bCs/>
          <w:i/>
          <w:iCs/>
          <w:shd w:val="clear" w:color="auto" w:fill="FFFFFF"/>
        </w:rPr>
        <w:t>Relating to the maintenance of reserves by condominium and cooperative associations, the bill:</w:t>
      </w:r>
    </w:p>
    <w:p w14:paraId="24D387F0"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Allows all multi-condominiums to use the “alternative funding method”.</w:t>
      </w:r>
    </w:p>
    <w:p w14:paraId="6212D1C2"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0705FBF0"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Increases the monetary threshold for reserve items from $10,000 to $25,000, with annual inflation increases.</w:t>
      </w:r>
    </w:p>
    <w:p w14:paraId="0B9ECE5A"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665F13F5"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Provides for investment of reserve funds in certificates of deposit or deposits in banks and credit unions without a vote of the unit owners.</w:t>
      </w:r>
    </w:p>
    <w:p w14:paraId="688D7FDC"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176EFD4E"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Allows a unit owner-controlled association that is required to have a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to fund reserves by a special assessment, a line of credit, or loan, with the approval of </w:t>
      </w:r>
      <w:proofErr w:type="gramStart"/>
      <w:r>
        <w:rPr>
          <w:rFonts w:ascii="Aptos" w:eastAsia="Times New Roman" w:hAnsi="Aptos" w:cs="Helvetica"/>
          <w:shd w:val="clear" w:color="auto" w:fill="FFFFFF"/>
        </w:rPr>
        <w:t>a majority of</w:t>
      </w:r>
      <w:proofErr w:type="gramEnd"/>
      <w:r>
        <w:rPr>
          <w:rFonts w:ascii="Aptos" w:eastAsia="Times New Roman" w:hAnsi="Aptos" w:cs="Helvetica"/>
          <w:shd w:val="clear" w:color="auto" w:fill="FFFFFF"/>
        </w:rPr>
        <w:t xml:space="preserve"> the voting interests of the association.</w:t>
      </w:r>
    </w:p>
    <w:p w14:paraId="17F85FC5"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2E7ED884"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Allows condominium boards to pause reserve funding without unit owner approval when the condominium building is declared uninhabitable by the local building official.</w:t>
      </w:r>
    </w:p>
    <w:p w14:paraId="53451286"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1BE47EF7"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Allows unit owner-controlled associations, for a budget adopted on or before December 31, 2028, that have completed the </w:t>
      </w:r>
      <w:r>
        <w:rPr>
          <w:rFonts w:ascii="Aptos" w:eastAsia="Times New Roman" w:hAnsi="Aptos" w:cs="Helvetica"/>
          <w:b/>
          <w:bCs/>
          <w:shd w:val="clear" w:color="auto" w:fill="FFFFFF"/>
        </w:rPr>
        <w:t>Milestone Inspection</w:t>
      </w:r>
      <w:r>
        <w:rPr>
          <w:rFonts w:ascii="Aptos" w:eastAsia="Times New Roman" w:hAnsi="Aptos" w:cs="Helvetica"/>
          <w:shd w:val="clear" w:color="auto" w:fill="FFFFFF"/>
        </w:rPr>
        <w:t xml:space="preserve"> in the previous two years to temporarily pause or reduce reserve contributions for no more than 2 consecutive annual budgets, upon a vote of a majority of the total voting interests, in order to fund needed repairs recommended by the </w:t>
      </w:r>
      <w:r>
        <w:rPr>
          <w:rFonts w:ascii="Aptos" w:eastAsia="Times New Roman" w:hAnsi="Aptos" w:cs="Helvetica"/>
          <w:b/>
          <w:bCs/>
          <w:shd w:val="clear" w:color="auto" w:fill="FFFFFF"/>
        </w:rPr>
        <w:t>Milestone Inspection</w:t>
      </w:r>
      <w:r>
        <w:rPr>
          <w:rFonts w:ascii="Aptos" w:eastAsia="Times New Roman" w:hAnsi="Aptos" w:cs="Helvetica"/>
          <w:shd w:val="clear" w:color="auto" w:fill="FFFFFF"/>
        </w:rPr>
        <w:t xml:space="preserve">. If an association pauses or reduces reserve funding, it must perform a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before continuing reserve contribution </w:t>
      </w:r>
      <w:proofErr w:type="gramStart"/>
      <w:r>
        <w:rPr>
          <w:rFonts w:ascii="Aptos" w:eastAsia="Times New Roman" w:hAnsi="Aptos" w:cs="Helvetica"/>
          <w:shd w:val="clear" w:color="auto" w:fill="FFFFFF"/>
        </w:rPr>
        <w:t>in order to</w:t>
      </w:r>
      <w:proofErr w:type="gramEnd"/>
      <w:r>
        <w:rPr>
          <w:rFonts w:ascii="Aptos" w:eastAsia="Times New Roman" w:hAnsi="Aptos" w:cs="Helvetica"/>
          <w:shd w:val="clear" w:color="auto" w:fill="FFFFFF"/>
        </w:rPr>
        <w:t xml:space="preserve"> determine the association’s reserve funding needs and to recommend a reserve funding plan.</w:t>
      </w:r>
    </w:p>
    <w:p w14:paraId="27E78CDE"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7913F0E5"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Allows for funding of </w:t>
      </w:r>
      <w:r>
        <w:rPr>
          <w:rFonts w:ascii="Aptos" w:eastAsia="Times New Roman" w:hAnsi="Aptos" w:cs="Helvetica"/>
          <w:b/>
          <w:bCs/>
          <w:shd w:val="clear" w:color="auto" w:fill="FFFFFF"/>
        </w:rPr>
        <w:t>Structural Integrity Reserve Study (SIRS)</w:t>
      </w:r>
      <w:r>
        <w:rPr>
          <w:rFonts w:ascii="Aptos" w:eastAsia="Times New Roman" w:hAnsi="Aptos" w:cs="Helvetica"/>
          <w:shd w:val="clear" w:color="auto" w:fill="FFFFFF"/>
        </w:rPr>
        <w:t xml:space="preserve"> reserves by the pooling accounting method and allows boards to change the accounting methods for reserves to a pooling accounting method or a straight-line accounting method without a vote of the members.</w:t>
      </w:r>
    </w:p>
    <w:p w14:paraId="0D0D6FA4" w14:textId="77777777" w:rsidR="009A4A8B" w:rsidRDefault="009A4A8B" w:rsidP="009A4A8B">
      <w:pPr>
        <w:spacing w:after="0" w:line="240" w:lineRule="auto"/>
        <w:jc w:val="both"/>
        <w:rPr>
          <w:rFonts w:ascii="Aptos" w:eastAsia="Times New Roman" w:hAnsi="Aptos" w:cs="Helvetica"/>
          <w:b/>
          <w:bCs/>
          <w:sz w:val="26"/>
          <w:szCs w:val="26"/>
          <w:shd w:val="clear" w:color="auto" w:fill="FFFFFF"/>
        </w:rPr>
      </w:pPr>
    </w:p>
    <w:p w14:paraId="5780902A" w14:textId="77777777" w:rsidR="009A4A8B" w:rsidRDefault="009A4A8B" w:rsidP="009A4A8B">
      <w:pPr>
        <w:spacing w:after="0" w:line="240" w:lineRule="auto"/>
        <w:jc w:val="both"/>
        <w:rPr>
          <w:rFonts w:ascii="Aptos" w:eastAsia="Times New Roman" w:hAnsi="Aptos" w:cs="Helvetica"/>
          <w:b/>
          <w:bCs/>
          <w:sz w:val="6"/>
          <w:szCs w:val="6"/>
          <w:shd w:val="clear" w:color="auto" w:fill="FFFFFF"/>
        </w:rPr>
      </w:pPr>
    </w:p>
    <w:p w14:paraId="7A276DD3" w14:textId="77777777" w:rsidR="009A4A8B" w:rsidRPr="00A6675C" w:rsidRDefault="009A4A8B" w:rsidP="009A4A8B">
      <w:pPr>
        <w:spacing w:after="0" w:line="240" w:lineRule="auto"/>
        <w:jc w:val="both"/>
        <w:rPr>
          <w:rFonts w:ascii="Aptos" w:eastAsia="Times New Roman" w:hAnsi="Aptos" w:cs="Helvetica"/>
          <w:b/>
          <w:bCs/>
          <w:sz w:val="6"/>
          <w:szCs w:val="6"/>
          <w:shd w:val="clear" w:color="auto" w:fill="FFFFFF"/>
        </w:rPr>
      </w:pPr>
    </w:p>
    <w:p w14:paraId="55AD3E4C" w14:textId="77777777" w:rsidR="009A4A8B" w:rsidRPr="00064E18" w:rsidRDefault="009A4A8B" w:rsidP="009A4A8B">
      <w:pPr>
        <w:spacing w:after="0" w:line="240" w:lineRule="auto"/>
        <w:jc w:val="both"/>
        <w:rPr>
          <w:rFonts w:ascii="Aptos" w:eastAsia="Times New Roman" w:hAnsi="Aptos" w:cs="Helvetica"/>
          <w:b/>
          <w:bCs/>
          <w:sz w:val="26"/>
          <w:szCs w:val="26"/>
          <w:u w:val="single"/>
          <w:shd w:val="clear" w:color="auto" w:fill="FFFFFF"/>
        </w:rPr>
      </w:pPr>
      <w:r w:rsidRPr="00064E18">
        <w:rPr>
          <w:rFonts w:ascii="Aptos" w:eastAsia="Times New Roman" w:hAnsi="Aptos" w:cs="Helvetica"/>
          <w:b/>
          <w:bCs/>
          <w:sz w:val="26"/>
          <w:szCs w:val="26"/>
          <w:u w:val="single"/>
          <w:shd w:val="clear" w:color="auto" w:fill="FFFFFF"/>
        </w:rPr>
        <w:lastRenderedPageBreak/>
        <w:t>House Bill 913 / Senate Bill 1742 – Summary of Legislation</w:t>
      </w:r>
    </w:p>
    <w:p w14:paraId="723BD32E" w14:textId="77777777" w:rsidR="009A4A8B" w:rsidRPr="00DF5474" w:rsidRDefault="009A4A8B" w:rsidP="009A4A8B">
      <w:pPr>
        <w:spacing w:after="0" w:line="240" w:lineRule="auto"/>
        <w:jc w:val="both"/>
        <w:rPr>
          <w:rFonts w:ascii="Aptos" w:eastAsia="Times New Roman" w:hAnsi="Aptos" w:cs="Helvetica"/>
          <w:b/>
          <w:bCs/>
          <w:sz w:val="6"/>
          <w:szCs w:val="6"/>
          <w:shd w:val="clear" w:color="auto" w:fill="FFFFFF"/>
        </w:rPr>
      </w:pPr>
    </w:p>
    <w:p w14:paraId="7C21894A"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Pr>
          <w:rFonts w:ascii="Aptos" w:eastAsia="Times New Roman" w:hAnsi="Aptos" w:cs="Helvetica"/>
          <w:b/>
          <w:bCs/>
          <w:sz w:val="26"/>
          <w:szCs w:val="26"/>
          <w:shd w:val="clear" w:color="auto" w:fill="FFFFFF"/>
        </w:rPr>
        <w:t>Annual Budget Requirements</w:t>
      </w:r>
    </w:p>
    <w:p w14:paraId="2D9CC635" w14:textId="77777777" w:rsidR="009A4A8B" w:rsidRPr="008E0EA7" w:rsidRDefault="009A4A8B" w:rsidP="009A4A8B">
      <w:pPr>
        <w:spacing w:after="0" w:line="240" w:lineRule="auto"/>
        <w:jc w:val="both"/>
        <w:rPr>
          <w:rFonts w:ascii="Aptos" w:eastAsia="Times New Roman" w:hAnsi="Aptos" w:cs="Helvetica"/>
          <w:b/>
          <w:bCs/>
          <w:i/>
          <w:iCs/>
          <w:shd w:val="clear" w:color="auto" w:fill="FFFFFF"/>
        </w:rPr>
      </w:pPr>
      <w:r>
        <w:rPr>
          <w:rFonts w:ascii="Aptos" w:eastAsia="Times New Roman" w:hAnsi="Aptos" w:cs="Helvetica"/>
          <w:b/>
          <w:bCs/>
          <w:i/>
          <w:iCs/>
          <w:shd w:val="clear" w:color="auto" w:fill="FFFFFF"/>
        </w:rPr>
        <w:t>Relating to the budget requirements for condominium associations, the bill:</w:t>
      </w:r>
    </w:p>
    <w:p w14:paraId="726CAF80"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Requires associations to simultaneously propose a substitute budget that excludes any discretionary spending if the proposed budget exceeds 115 percent of the assessments of the preceding year.</w:t>
      </w:r>
    </w:p>
    <w:p w14:paraId="4E95AFF2"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5F8BA6DC"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Requires that the substitute budget be presented to the unit owners for approval before a budget can be adopted.</w:t>
      </w:r>
    </w:p>
    <w:p w14:paraId="0B8D3EDC"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44B137D7"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Revises the expenses that associations can exclude when determining whether assessments exceed 115 percent of the assessments of the preceding year by:</w:t>
      </w:r>
    </w:p>
    <w:p w14:paraId="5DB81C9A" w14:textId="77777777" w:rsidR="009A4A8B" w:rsidRDefault="009A4A8B" w:rsidP="009A4A8B">
      <w:pPr>
        <w:pStyle w:val="ListParagraph"/>
        <w:numPr>
          <w:ilvl w:val="1"/>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Removing “assessments for the betterment of the community”</w:t>
      </w:r>
    </w:p>
    <w:p w14:paraId="7B2E368E" w14:textId="77777777" w:rsidR="009A4A8B" w:rsidRPr="007710F1" w:rsidRDefault="009A4A8B" w:rsidP="009A4A8B">
      <w:pPr>
        <w:pStyle w:val="ListParagraph"/>
        <w:spacing w:after="0" w:line="240" w:lineRule="auto"/>
        <w:ind w:left="990"/>
        <w:jc w:val="both"/>
        <w:rPr>
          <w:rFonts w:ascii="Aptos" w:eastAsia="Times New Roman" w:hAnsi="Aptos" w:cs="Helvetica"/>
          <w:sz w:val="18"/>
          <w:szCs w:val="18"/>
          <w:shd w:val="clear" w:color="auto" w:fill="FFFFFF"/>
        </w:rPr>
      </w:pPr>
    </w:p>
    <w:p w14:paraId="36EFD408" w14:textId="77777777" w:rsidR="009A4A8B" w:rsidRDefault="009A4A8B" w:rsidP="009A4A8B">
      <w:pPr>
        <w:pStyle w:val="ListParagraph"/>
        <w:numPr>
          <w:ilvl w:val="1"/>
          <w:numId w:val="1"/>
        </w:numPr>
        <w:spacing w:after="0" w:line="240" w:lineRule="auto"/>
        <w:jc w:val="both"/>
        <w:rPr>
          <w:rFonts w:ascii="Aptos" w:eastAsia="Times New Roman" w:hAnsi="Aptos" w:cs="Helvetica"/>
          <w:shd w:val="clear" w:color="auto" w:fill="FFFFFF"/>
        </w:rPr>
      </w:pPr>
      <w:r>
        <w:rPr>
          <w:rFonts w:ascii="Aptos" w:eastAsia="Times New Roman" w:hAnsi="Aptos" w:cs="Helvetica"/>
          <w:shd w:val="clear" w:color="auto" w:fill="FFFFFF"/>
        </w:rPr>
        <w:t xml:space="preserve">Limiting the exclusion of anticipated expenses to expenses related to the </w:t>
      </w:r>
      <w:r>
        <w:rPr>
          <w:rFonts w:ascii="Aptos" w:eastAsia="Times New Roman" w:hAnsi="Aptos" w:cs="Helvetica"/>
          <w:b/>
          <w:bCs/>
          <w:shd w:val="clear" w:color="auto" w:fill="FFFFFF"/>
        </w:rPr>
        <w:t>Structural Integrity Reserve Study (SIRS) inspection.</w:t>
      </w:r>
    </w:p>
    <w:p w14:paraId="29A606DB" w14:textId="77777777" w:rsidR="009A4A8B" w:rsidRDefault="009A4A8B" w:rsidP="009A4A8B">
      <w:pPr>
        <w:spacing w:after="0" w:line="240" w:lineRule="auto"/>
        <w:jc w:val="both"/>
        <w:rPr>
          <w:rFonts w:ascii="Aptos" w:eastAsia="Times New Roman" w:hAnsi="Aptos" w:cs="Helvetica"/>
          <w:b/>
          <w:bCs/>
          <w:sz w:val="26"/>
          <w:szCs w:val="26"/>
          <w:shd w:val="clear" w:color="auto" w:fill="FFFFFF"/>
        </w:rPr>
      </w:pPr>
    </w:p>
    <w:p w14:paraId="6161D221" w14:textId="77777777" w:rsidR="009A4A8B" w:rsidRPr="00B750FE" w:rsidRDefault="009A4A8B" w:rsidP="009A4A8B">
      <w:pPr>
        <w:spacing w:after="0" w:line="240" w:lineRule="auto"/>
        <w:jc w:val="both"/>
        <w:rPr>
          <w:rFonts w:ascii="Aptos" w:eastAsia="Times New Roman" w:hAnsi="Aptos" w:cs="Helvetica"/>
          <w:b/>
          <w:bCs/>
          <w:sz w:val="26"/>
          <w:szCs w:val="26"/>
          <w:shd w:val="clear" w:color="auto" w:fill="FFFFFF"/>
        </w:rPr>
      </w:pPr>
      <w:r>
        <w:rPr>
          <w:rFonts w:ascii="Aptos" w:eastAsia="Times New Roman" w:hAnsi="Aptos" w:cs="Helvetica"/>
          <w:b/>
          <w:bCs/>
          <w:sz w:val="26"/>
          <w:szCs w:val="26"/>
          <w:shd w:val="clear" w:color="auto" w:fill="FFFFFF"/>
        </w:rPr>
        <w:t>Emergency Powers – 718.1265</w:t>
      </w:r>
    </w:p>
    <w:p w14:paraId="00C71C46"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sidRPr="000914CE">
        <w:rPr>
          <w:rFonts w:ascii="Aptos" w:eastAsia="Times New Roman" w:hAnsi="Aptos" w:cs="Helvetica"/>
          <w:b/>
          <w:bCs/>
          <w:shd w:val="clear" w:color="auto" w:fill="FFFFFF"/>
        </w:rPr>
        <w:t>Evacuation Authority:</w:t>
      </w:r>
      <w:r>
        <w:rPr>
          <w:rFonts w:ascii="Aptos" w:eastAsia="Times New Roman" w:hAnsi="Aptos" w:cs="Helvetica"/>
          <w:shd w:val="clear" w:color="auto" w:fill="FFFFFF"/>
        </w:rPr>
        <w:t xml:space="preserve"> Boards have the power to order an evacuation in the event of an emergency.</w:t>
      </w:r>
    </w:p>
    <w:p w14:paraId="71946C90" w14:textId="77777777" w:rsidR="009A4A8B" w:rsidRDefault="009A4A8B" w:rsidP="009A4A8B">
      <w:pPr>
        <w:pStyle w:val="ListParagraph"/>
        <w:spacing w:after="0" w:line="240" w:lineRule="auto"/>
        <w:ind w:left="450"/>
        <w:jc w:val="both"/>
        <w:rPr>
          <w:rFonts w:ascii="Aptos" w:eastAsia="Times New Roman" w:hAnsi="Aptos" w:cs="Helvetica"/>
          <w:shd w:val="clear" w:color="auto" w:fill="FFFFFF"/>
        </w:rPr>
      </w:pPr>
    </w:p>
    <w:p w14:paraId="6615C6EC" w14:textId="77777777" w:rsidR="009A4A8B" w:rsidRDefault="009A4A8B" w:rsidP="009A4A8B">
      <w:pPr>
        <w:pStyle w:val="ListParagraph"/>
        <w:numPr>
          <w:ilvl w:val="0"/>
          <w:numId w:val="1"/>
        </w:numPr>
        <w:spacing w:after="0" w:line="240" w:lineRule="auto"/>
        <w:jc w:val="both"/>
        <w:rPr>
          <w:rFonts w:ascii="Aptos" w:eastAsia="Times New Roman" w:hAnsi="Aptos" w:cs="Helvetica"/>
          <w:shd w:val="clear" w:color="auto" w:fill="FFFFFF"/>
        </w:rPr>
      </w:pPr>
      <w:r>
        <w:rPr>
          <w:rFonts w:ascii="Aptos" w:eastAsia="Times New Roman" w:hAnsi="Aptos" w:cs="Helvetica"/>
          <w:b/>
          <w:bCs/>
          <w:shd w:val="clear" w:color="auto" w:fill="FFFFFF"/>
        </w:rPr>
        <w:t>Liability Protection:</w:t>
      </w:r>
      <w:r>
        <w:rPr>
          <w:rFonts w:ascii="Aptos" w:eastAsia="Times New Roman" w:hAnsi="Aptos" w:cs="Helvetica"/>
          <w:shd w:val="clear" w:color="auto" w:fill="FFFFFF"/>
        </w:rPr>
        <w:t xml:space="preserve"> Condominiums and Cooperatives are not liable for injuries to residents refusing to evacuate after board directive.</w:t>
      </w:r>
    </w:p>
    <w:p w14:paraId="6C7D45CA" w14:textId="77777777" w:rsidR="009A4A8B" w:rsidRDefault="009A4A8B" w:rsidP="009A4A8B">
      <w:pPr>
        <w:spacing w:after="0"/>
        <w:rPr>
          <w:rFonts w:ascii="Aptos" w:eastAsia="Times New Roman" w:hAnsi="Aptos" w:cs="Helvetica"/>
          <w:b/>
          <w:bCs/>
          <w:shd w:val="clear" w:color="auto" w:fill="FFFFFF"/>
        </w:rPr>
      </w:pPr>
    </w:p>
    <w:p w14:paraId="1CEB5277" w14:textId="77777777" w:rsidR="009A4A8B" w:rsidRPr="001F2A93" w:rsidRDefault="009A4A8B" w:rsidP="009A4A8B">
      <w:pPr>
        <w:spacing w:after="0"/>
        <w:rPr>
          <w:rFonts w:ascii="Aptos" w:hAnsi="Aptos"/>
          <w:sz w:val="26"/>
          <w:szCs w:val="26"/>
        </w:rPr>
      </w:pPr>
      <w:r w:rsidRPr="001F2A93">
        <w:rPr>
          <w:rFonts w:ascii="Aptos" w:eastAsia="Times New Roman" w:hAnsi="Aptos" w:cs="Helvetica"/>
          <w:b/>
          <w:bCs/>
          <w:sz w:val="26"/>
          <w:szCs w:val="26"/>
          <w:shd w:val="clear" w:color="auto" w:fill="FFFFFF"/>
        </w:rPr>
        <w:t>Effective Date</w:t>
      </w:r>
    </w:p>
    <w:p w14:paraId="0AC77148" w14:textId="77777777" w:rsidR="009A4A8B" w:rsidRPr="004E672B" w:rsidRDefault="009A4A8B" w:rsidP="009A4A8B">
      <w:pPr>
        <w:pStyle w:val="ListParagraph"/>
        <w:numPr>
          <w:ilvl w:val="0"/>
          <w:numId w:val="1"/>
        </w:numPr>
        <w:spacing w:after="0"/>
        <w:rPr>
          <w:rFonts w:ascii="Aptos" w:hAnsi="Aptos"/>
        </w:rPr>
      </w:pPr>
      <w:r w:rsidRPr="004E672B">
        <w:rPr>
          <w:rFonts w:ascii="Aptos" w:eastAsia="Times New Roman" w:hAnsi="Aptos" w:cs="Helvetica"/>
          <w:shd w:val="clear" w:color="auto" w:fill="FFFFFF"/>
        </w:rPr>
        <w:t>This act shall take effect July 1, 2025.</w:t>
      </w:r>
    </w:p>
    <w:p w14:paraId="205186AA" w14:textId="77777777" w:rsidR="009A4A8B" w:rsidRPr="00E6513B" w:rsidRDefault="009A4A8B" w:rsidP="009A4A8B">
      <w:pPr>
        <w:spacing w:after="0"/>
        <w:rPr>
          <w:rFonts w:ascii="Aptos" w:hAnsi="Aptos"/>
        </w:rPr>
      </w:pPr>
    </w:p>
    <w:p w14:paraId="72A7E160" w14:textId="77777777" w:rsidR="009A4A8B" w:rsidRPr="001F2A93" w:rsidRDefault="009A4A8B" w:rsidP="009A4A8B">
      <w:pPr>
        <w:spacing w:after="0"/>
        <w:rPr>
          <w:rFonts w:ascii="Aptos" w:eastAsia="Times New Roman" w:hAnsi="Aptos" w:cs="Helvetica"/>
          <w:b/>
          <w:bCs/>
          <w:sz w:val="26"/>
          <w:szCs w:val="26"/>
        </w:rPr>
      </w:pPr>
      <w:r w:rsidRPr="001F2A93">
        <w:rPr>
          <w:rFonts w:ascii="Aptos" w:eastAsia="Times New Roman" w:hAnsi="Aptos" w:cs="Helvetica"/>
          <w:b/>
          <w:bCs/>
          <w:sz w:val="26"/>
          <w:szCs w:val="26"/>
        </w:rPr>
        <w:t>Sources</w:t>
      </w:r>
    </w:p>
    <w:p w14:paraId="2D7E13DE" w14:textId="77777777" w:rsidR="009A4A8B" w:rsidRPr="001F2A93" w:rsidRDefault="009A4A8B" w:rsidP="009A4A8B">
      <w:pPr>
        <w:pStyle w:val="ListParagraph"/>
        <w:numPr>
          <w:ilvl w:val="0"/>
          <w:numId w:val="1"/>
        </w:numPr>
        <w:spacing w:after="0"/>
        <w:rPr>
          <w:rFonts w:ascii="Aptos" w:eastAsia="Times New Roman" w:hAnsi="Aptos" w:cs="Helvetica"/>
        </w:rPr>
      </w:pPr>
      <w:r>
        <w:rPr>
          <w:rFonts w:ascii="Aptos" w:eastAsia="Times New Roman" w:hAnsi="Aptos" w:cs="Helvetica"/>
        </w:rPr>
        <w:t xml:space="preserve">Florida </w:t>
      </w:r>
      <w:r w:rsidRPr="001F2A93">
        <w:rPr>
          <w:rFonts w:ascii="Aptos" w:eastAsia="Times New Roman" w:hAnsi="Aptos" w:cs="Helvetica"/>
        </w:rPr>
        <w:t>House Bill 913</w:t>
      </w:r>
    </w:p>
    <w:p w14:paraId="58CCE604" w14:textId="77777777" w:rsidR="009A4A8B" w:rsidRPr="00BA7605" w:rsidRDefault="009A4A8B" w:rsidP="009A4A8B">
      <w:pPr>
        <w:spacing w:after="0"/>
        <w:rPr>
          <w:rFonts w:ascii="Aptos" w:eastAsia="Times New Roman" w:hAnsi="Aptos" w:cs="Helvetica"/>
          <w:sz w:val="18"/>
          <w:szCs w:val="18"/>
        </w:rPr>
      </w:pPr>
    </w:p>
    <w:p w14:paraId="47A11466" w14:textId="77777777" w:rsidR="009A4A8B" w:rsidRDefault="009A4A8B" w:rsidP="009A4A8B">
      <w:pPr>
        <w:pStyle w:val="ListParagraph"/>
        <w:numPr>
          <w:ilvl w:val="0"/>
          <w:numId w:val="1"/>
        </w:numPr>
        <w:spacing w:after="0"/>
        <w:rPr>
          <w:rFonts w:ascii="Aptos" w:eastAsia="Times New Roman" w:hAnsi="Aptos" w:cs="Helvetica"/>
        </w:rPr>
      </w:pPr>
      <w:r w:rsidRPr="001F2A93">
        <w:rPr>
          <w:rFonts w:ascii="Aptos" w:eastAsia="Times New Roman" w:hAnsi="Aptos" w:cs="Helvetica"/>
        </w:rPr>
        <w:t>Bill Analysis – House Bill 913</w:t>
      </w:r>
    </w:p>
    <w:p w14:paraId="09986AF2" w14:textId="77777777" w:rsidR="009A4A8B" w:rsidRPr="00BA7605" w:rsidRDefault="009A4A8B" w:rsidP="009A4A8B">
      <w:pPr>
        <w:pStyle w:val="ListParagraph"/>
        <w:rPr>
          <w:rFonts w:ascii="Aptos" w:eastAsia="Times New Roman" w:hAnsi="Aptos" w:cs="Helvetica"/>
          <w:sz w:val="18"/>
          <w:szCs w:val="18"/>
        </w:rPr>
      </w:pPr>
    </w:p>
    <w:p w14:paraId="374B69E1" w14:textId="77777777" w:rsidR="009A4A8B" w:rsidRDefault="009A4A8B" w:rsidP="009A4A8B">
      <w:pPr>
        <w:pStyle w:val="ListParagraph"/>
        <w:numPr>
          <w:ilvl w:val="0"/>
          <w:numId w:val="1"/>
        </w:numPr>
        <w:spacing w:after="0"/>
        <w:rPr>
          <w:rFonts w:ascii="Aptos" w:eastAsia="Times New Roman" w:hAnsi="Aptos" w:cs="Helvetica"/>
        </w:rPr>
      </w:pPr>
      <w:r>
        <w:rPr>
          <w:rFonts w:ascii="Aptos" w:eastAsia="Times New Roman" w:hAnsi="Aptos" w:cs="Helvetica"/>
        </w:rPr>
        <w:t>Florida Senate Bill 1742</w:t>
      </w:r>
    </w:p>
    <w:p w14:paraId="6329BDC5" w14:textId="77777777" w:rsidR="009A4A8B" w:rsidRPr="00BA7605" w:rsidRDefault="009A4A8B" w:rsidP="009A4A8B">
      <w:pPr>
        <w:pStyle w:val="ListParagraph"/>
        <w:rPr>
          <w:rFonts w:ascii="Aptos" w:eastAsia="Times New Roman" w:hAnsi="Aptos" w:cs="Helvetica"/>
          <w:sz w:val="18"/>
          <w:szCs w:val="18"/>
        </w:rPr>
      </w:pPr>
    </w:p>
    <w:p w14:paraId="53621105" w14:textId="77777777" w:rsidR="009A4A8B" w:rsidRDefault="009A4A8B" w:rsidP="009A4A8B">
      <w:pPr>
        <w:pStyle w:val="ListParagraph"/>
        <w:numPr>
          <w:ilvl w:val="0"/>
          <w:numId w:val="1"/>
        </w:numPr>
        <w:spacing w:after="0"/>
        <w:rPr>
          <w:rFonts w:ascii="Aptos" w:eastAsia="Times New Roman" w:hAnsi="Aptos" w:cs="Helvetica"/>
        </w:rPr>
      </w:pPr>
      <w:r>
        <w:rPr>
          <w:rFonts w:ascii="Aptos" w:eastAsia="Times New Roman" w:hAnsi="Aptos" w:cs="Helvetica"/>
        </w:rPr>
        <w:t>Bill Analysis – Senate Bill 1742</w:t>
      </w:r>
    </w:p>
    <w:p w14:paraId="7433E094" w14:textId="77777777" w:rsidR="009A4A8B" w:rsidRPr="00BA7605" w:rsidRDefault="009A4A8B" w:rsidP="009A4A8B">
      <w:pPr>
        <w:pStyle w:val="ListParagraph"/>
        <w:rPr>
          <w:rFonts w:ascii="Aptos" w:eastAsia="Times New Roman" w:hAnsi="Aptos" w:cs="Helvetica"/>
          <w:sz w:val="18"/>
          <w:szCs w:val="18"/>
        </w:rPr>
      </w:pPr>
    </w:p>
    <w:p w14:paraId="053B7FF6" w14:textId="77777777" w:rsidR="009A4A8B" w:rsidRDefault="009A4A8B" w:rsidP="009A4A8B">
      <w:pPr>
        <w:pStyle w:val="ListParagraph"/>
        <w:numPr>
          <w:ilvl w:val="0"/>
          <w:numId w:val="1"/>
        </w:numPr>
        <w:spacing w:after="0"/>
        <w:rPr>
          <w:rFonts w:ascii="Aptos" w:eastAsia="Times New Roman" w:hAnsi="Aptos" w:cs="Helvetica"/>
        </w:rPr>
      </w:pPr>
      <w:r>
        <w:rPr>
          <w:rFonts w:ascii="Aptos" w:eastAsia="Times New Roman" w:hAnsi="Aptos" w:cs="Helvetica"/>
        </w:rPr>
        <w:t>Chapter 2025-175 – Committee Substitute for Committee Substitute for House Bill 913</w:t>
      </w:r>
    </w:p>
    <w:p w14:paraId="56A8ACF3" w14:textId="77777777" w:rsidR="009A4A8B" w:rsidRPr="00BA7605" w:rsidRDefault="009A4A8B" w:rsidP="009A4A8B">
      <w:pPr>
        <w:pStyle w:val="ListParagraph"/>
        <w:rPr>
          <w:rFonts w:ascii="Aptos" w:eastAsia="Times New Roman" w:hAnsi="Aptos" w:cs="Helvetica"/>
          <w:sz w:val="18"/>
          <w:szCs w:val="18"/>
        </w:rPr>
      </w:pPr>
    </w:p>
    <w:p w14:paraId="1FFFC30A" w14:textId="77777777" w:rsidR="009A4A8B" w:rsidRPr="007320A3" w:rsidRDefault="009A4A8B" w:rsidP="009A4A8B">
      <w:pPr>
        <w:pStyle w:val="ListParagraph"/>
        <w:numPr>
          <w:ilvl w:val="0"/>
          <w:numId w:val="1"/>
        </w:numPr>
        <w:spacing w:after="0"/>
        <w:rPr>
          <w:rFonts w:ascii="Aptos" w:eastAsia="Times New Roman" w:hAnsi="Aptos" w:cs="Helvetica"/>
        </w:rPr>
      </w:pPr>
      <w:r>
        <w:rPr>
          <w:rFonts w:ascii="Aptos" w:eastAsia="Times New Roman" w:hAnsi="Aptos" w:cs="Helvetica"/>
        </w:rPr>
        <w:t>Community Associations Institute (CAI) – Florida Legislative Alliance</w:t>
      </w:r>
    </w:p>
    <w:p w14:paraId="31EA2B87" w14:textId="77777777" w:rsidR="009A4A8B" w:rsidRPr="00FD0ABB" w:rsidRDefault="009A4A8B" w:rsidP="009A4A8B">
      <w:pPr>
        <w:pStyle w:val="ListParagraph"/>
        <w:numPr>
          <w:ilvl w:val="1"/>
          <w:numId w:val="1"/>
        </w:numPr>
        <w:spacing w:after="0"/>
        <w:rPr>
          <w:rFonts w:ascii="Aptos" w:eastAsia="Times New Roman" w:hAnsi="Aptos" w:cs="Helvetica"/>
        </w:rPr>
      </w:pPr>
      <w:r>
        <w:rPr>
          <w:rFonts w:ascii="Aptos" w:eastAsia="Times New Roman" w:hAnsi="Aptos" w:cs="Helvetica"/>
        </w:rPr>
        <w:t xml:space="preserve">2025 CAI Legislative Session Report </w:t>
      </w:r>
    </w:p>
    <w:p w14:paraId="7F94AC29" w14:textId="77777777" w:rsidR="009A4A8B" w:rsidRDefault="009A4A8B" w:rsidP="009A4A8B">
      <w:pPr>
        <w:spacing w:after="0"/>
        <w:rPr>
          <w:rFonts w:ascii="Aptos" w:eastAsia="Times New Roman" w:hAnsi="Aptos" w:cs="Helvetica"/>
          <w:sz w:val="26"/>
          <w:szCs w:val="26"/>
        </w:rPr>
      </w:pPr>
    </w:p>
    <w:p w14:paraId="059DA419" w14:textId="77777777" w:rsidR="009A4A8B" w:rsidRDefault="009A4A8B" w:rsidP="009A4A8B">
      <w:pPr>
        <w:spacing w:after="0"/>
        <w:rPr>
          <w:rFonts w:ascii="Aptos" w:eastAsia="Times New Roman" w:hAnsi="Aptos" w:cs="Helvetica"/>
          <w:sz w:val="26"/>
          <w:szCs w:val="26"/>
        </w:rPr>
      </w:pPr>
    </w:p>
    <w:p w14:paraId="0BAD08A9" w14:textId="77777777" w:rsidR="009A4A8B" w:rsidRDefault="009A4A8B" w:rsidP="009A4A8B">
      <w:pPr>
        <w:spacing w:after="0"/>
        <w:rPr>
          <w:rFonts w:ascii="Aptos" w:eastAsia="Times New Roman" w:hAnsi="Aptos" w:cs="Helvetica"/>
          <w:sz w:val="26"/>
          <w:szCs w:val="26"/>
        </w:rPr>
      </w:pPr>
    </w:p>
    <w:p w14:paraId="0831EA01" w14:textId="77777777" w:rsidR="009A4A8B" w:rsidRDefault="009A4A8B" w:rsidP="009A4A8B">
      <w:pPr>
        <w:spacing w:after="0"/>
        <w:rPr>
          <w:rFonts w:ascii="Aptos" w:eastAsia="Times New Roman" w:hAnsi="Aptos" w:cs="Helvetica"/>
          <w:sz w:val="26"/>
          <w:szCs w:val="26"/>
        </w:rPr>
      </w:pPr>
    </w:p>
    <w:p w14:paraId="41D480A5" w14:textId="77777777" w:rsidR="009A4A8B" w:rsidRDefault="009A4A8B" w:rsidP="009A4A8B">
      <w:pPr>
        <w:spacing w:after="0"/>
        <w:rPr>
          <w:rFonts w:ascii="Aptos" w:eastAsia="Times New Roman" w:hAnsi="Aptos" w:cs="Helvetica"/>
          <w:sz w:val="26"/>
          <w:szCs w:val="26"/>
        </w:rPr>
      </w:pPr>
    </w:p>
    <w:p w14:paraId="35E3DA12" w14:textId="07590947" w:rsidR="009A4A8B" w:rsidRPr="006B7782" w:rsidRDefault="009A4A8B" w:rsidP="009A4A8B">
      <w:pPr>
        <w:spacing w:after="0"/>
        <w:rPr>
          <w:rFonts w:ascii="Aptos" w:eastAsia="Times New Roman" w:hAnsi="Aptos" w:cs="Helvetica"/>
          <w:i/>
          <w:iCs/>
        </w:rPr>
      </w:pPr>
      <w:r w:rsidRPr="006B7782">
        <w:rPr>
          <w:rFonts w:ascii="Aptos" w:eastAsia="Times New Roman" w:hAnsi="Aptos" w:cs="Helvetica"/>
        </w:rPr>
        <w:t>**</w:t>
      </w:r>
      <w:r w:rsidRPr="006B7782">
        <w:rPr>
          <w:rFonts w:ascii="Aptos" w:eastAsia="Times New Roman" w:hAnsi="Aptos" w:cs="Helvetica"/>
          <w:b/>
          <w:bCs/>
          <w:i/>
          <w:iCs/>
        </w:rPr>
        <w:t>Questions?</w:t>
      </w:r>
      <w:r w:rsidRPr="006B7782">
        <w:rPr>
          <w:rFonts w:ascii="Aptos" w:eastAsia="Times New Roman" w:hAnsi="Aptos" w:cs="Helvetica"/>
          <w:i/>
          <w:iCs/>
        </w:rPr>
        <w:t xml:space="preserve"> Please do not hesitate to contact</w:t>
      </w:r>
      <w:r>
        <w:rPr>
          <w:rFonts w:ascii="Aptos" w:eastAsia="Times New Roman" w:hAnsi="Aptos" w:cs="Helvetica"/>
          <w:i/>
          <w:iCs/>
        </w:rPr>
        <w:t xml:space="preserve"> Craig Holland</w:t>
      </w:r>
      <w:r w:rsidRPr="006B7782">
        <w:rPr>
          <w:rFonts w:ascii="Aptos" w:eastAsia="Times New Roman" w:hAnsi="Aptos" w:cs="Helvetica"/>
          <w:i/>
          <w:iCs/>
        </w:rPr>
        <w:t xml:space="preserve"> at </w:t>
      </w:r>
      <w:hyperlink r:id="rId7" w:history="1">
        <w:r>
          <w:rPr>
            <w:rStyle w:val="Hyperlink"/>
            <w:rFonts w:ascii="Aptos" w:eastAsia="Times New Roman" w:hAnsi="Aptos" w:cs="Helvetica"/>
            <w:i/>
            <w:iCs/>
          </w:rPr>
          <w:t>cnh@babbins.com</w:t>
        </w:r>
      </w:hyperlink>
      <w:r w:rsidRPr="006B7782">
        <w:rPr>
          <w:rFonts w:ascii="Aptos" w:eastAsia="Times New Roman" w:hAnsi="Aptos" w:cs="Helvetica"/>
          <w:i/>
          <w:iCs/>
        </w:rPr>
        <w:t xml:space="preserve"> or (</w:t>
      </w:r>
      <w:r>
        <w:rPr>
          <w:rFonts w:ascii="Aptos" w:eastAsia="Times New Roman" w:hAnsi="Aptos" w:cs="Helvetica"/>
          <w:i/>
          <w:iCs/>
        </w:rPr>
        <w:t>239) 333-1320</w:t>
      </w:r>
      <w:r w:rsidRPr="006B7782">
        <w:rPr>
          <w:rFonts w:ascii="Aptos" w:eastAsia="Times New Roman" w:hAnsi="Aptos" w:cs="Helvetica"/>
          <w:i/>
          <w:iCs/>
        </w:rPr>
        <w:t>.</w:t>
      </w:r>
    </w:p>
    <w:p w14:paraId="5D3ADB0F" w14:textId="3D985BF4" w:rsidR="00BF1E50" w:rsidRDefault="00BF1E50"/>
    <w:sectPr w:rsidR="00BF1E50" w:rsidSect="009A4A8B">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F67C" w14:textId="77777777" w:rsidR="00AD55F9" w:rsidRDefault="00AD55F9" w:rsidP="00BF1E50">
      <w:pPr>
        <w:spacing w:after="0" w:line="240" w:lineRule="auto"/>
      </w:pPr>
      <w:r>
        <w:separator/>
      </w:r>
    </w:p>
  </w:endnote>
  <w:endnote w:type="continuationSeparator" w:id="0">
    <w:p w14:paraId="603FEDD4" w14:textId="77777777" w:rsidR="00AD55F9" w:rsidRDefault="00AD55F9" w:rsidP="00BF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665598"/>
      <w:docPartObj>
        <w:docPartGallery w:val="Page Numbers (Bottom of Page)"/>
        <w:docPartUnique/>
      </w:docPartObj>
    </w:sdtPr>
    <w:sdtEndPr>
      <w:rPr>
        <w:noProof/>
      </w:rPr>
    </w:sdtEndPr>
    <w:sdtContent>
      <w:p w14:paraId="40AE6871" w14:textId="366D6724" w:rsidR="00BF1E50" w:rsidRDefault="009A4A8B" w:rsidP="00BF1E50">
        <w:pPr>
          <w:pStyle w:val="Footer"/>
          <w:jc w:val="right"/>
        </w:pPr>
        <w:r w:rsidRPr="00BF1E50">
          <mc:AlternateContent>
            <mc:Choice Requires="wps">
              <w:drawing>
                <wp:anchor distT="0" distB="0" distL="114300" distR="114300" simplePos="0" relativeHeight="251666432" behindDoc="0" locked="0" layoutInCell="1" allowOverlap="1" wp14:anchorId="1E1AA8F2" wp14:editId="1C179443">
                  <wp:simplePos x="0" y="0"/>
                  <wp:positionH relativeFrom="margin">
                    <wp:align>center</wp:align>
                  </wp:positionH>
                  <wp:positionV relativeFrom="paragraph">
                    <wp:posOffset>-255816</wp:posOffset>
                  </wp:positionV>
                  <wp:extent cx="6858000" cy="98129"/>
                  <wp:effectExtent l="0" t="0" r="0" b="0"/>
                  <wp:wrapNone/>
                  <wp:docPr id="1753424638" name="b209189a-0eb4-4ebf-a7a8-790eaae0ee1e"/>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129"/>
                          </a:xfrm>
                          <a:prstGeom prst="rect">
                            <a:avLst/>
                          </a:prstGeom>
                          <a:solidFill>
                            <a:schemeClr val="tx2">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88F0F7F" id="b209189a-0eb4-4ebf-a7a8-790eaae0ee1e" o:spid="_x0000_s1026" style="position:absolute;margin-left:0;margin-top:-20.15pt;width:540pt;height:7.7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" fillcolor="#0a1d30 [2415]" stroked="f">
                  <w10:wrap anchorx="margin"/>
                </v:rect>
              </w:pict>
            </mc:Fallback>
          </mc:AlternateContent>
        </w:r>
        <w:r w:rsidR="00BF1E50">
          <w:fldChar w:fldCharType="begin"/>
        </w:r>
        <w:r w:rsidR="00BF1E50">
          <w:instrText xml:space="preserve"> PAGE   \* MERGEFORMAT </w:instrText>
        </w:r>
        <w:r w:rsidR="00BF1E50">
          <w:fldChar w:fldCharType="separate"/>
        </w:r>
        <w:r w:rsidR="00BF1E50">
          <w:rPr>
            <w:noProof/>
          </w:rPr>
          <w:t>2</w:t>
        </w:r>
        <w:r w:rsidR="00BF1E50">
          <w:rPr>
            <w:noProof/>
          </w:rPr>
          <w:fldChar w:fldCharType="end"/>
        </w:r>
      </w:p>
    </w:sdtContent>
  </w:sdt>
  <w:p w14:paraId="536551E1" w14:textId="176293B5" w:rsidR="00BF1E50" w:rsidRPr="00BF1E50" w:rsidRDefault="00BF1E50" w:rsidP="00BF1E50">
    <w:pPr>
      <w:widowControl w:val="0"/>
      <w:autoSpaceDE w:val="0"/>
      <w:autoSpaceDN w:val="0"/>
      <w:spacing w:after="0" w:line="240" w:lineRule="auto"/>
      <w:ind w:right="922"/>
      <w:rPr>
        <w:rFonts w:ascii="Franklin Gothic Book" w:eastAsia="Times New Roman" w:hAnsi="Franklin Gothic Book" w:cs="Arial"/>
        <w:b/>
        <w:bCs/>
        <w:sz w:val="21"/>
        <w:szCs w:val="21"/>
      </w:rPr>
    </w:pPr>
    <w:r w:rsidRPr="00D0118D">
      <w:rPr>
        <w:rFonts w:ascii="Franklin Gothic Book" w:eastAsia="Times New Roman" w:hAnsi="Franklin Gothic Book" w:cs="Arial"/>
        <w:b/>
        <w:bCs/>
        <w:sz w:val="21"/>
        <w:szCs w:val="21"/>
      </w:rPr>
      <w:t>2025 Florida Legislative Session – Condominium</w:t>
    </w:r>
    <w:r>
      <w:rPr>
        <w:rFonts w:ascii="Franklin Gothic Book" w:eastAsia="Times New Roman" w:hAnsi="Franklin Gothic Book" w:cs="Arial"/>
        <w:b/>
        <w:bCs/>
        <w:sz w:val="21"/>
        <w:szCs w:val="21"/>
      </w:rPr>
      <w:t xml:space="preserve"> </w:t>
    </w:r>
    <w:r w:rsidRPr="00D0118D">
      <w:rPr>
        <w:rFonts w:ascii="Franklin Gothic Book" w:eastAsia="Times New Roman" w:hAnsi="Franklin Gothic Book" w:cs="Arial"/>
        <w:b/>
        <w:bCs/>
        <w:sz w:val="21"/>
        <w:szCs w:val="21"/>
      </w:rPr>
      <w:t>Associations – Summary of Legislation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38B4" w14:textId="77777777" w:rsidR="00AD55F9" w:rsidRDefault="00AD55F9" w:rsidP="00BF1E50">
      <w:pPr>
        <w:spacing w:after="0" w:line="240" w:lineRule="auto"/>
      </w:pPr>
      <w:r>
        <w:separator/>
      </w:r>
    </w:p>
  </w:footnote>
  <w:footnote w:type="continuationSeparator" w:id="0">
    <w:p w14:paraId="535A98DD" w14:textId="77777777" w:rsidR="00AD55F9" w:rsidRDefault="00AD55F9" w:rsidP="00BF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58B5" w14:textId="58ADA058" w:rsidR="00BF1E50" w:rsidRDefault="009A4A8B">
    <w:pPr>
      <w:pStyle w:val="Header"/>
    </w:pPr>
    <w:r w:rsidRPr="00BF1E50">
      <mc:AlternateContent>
        <mc:Choice Requires="wps">
          <w:drawing>
            <wp:anchor distT="0" distB="0" distL="114300" distR="114300" simplePos="0" relativeHeight="251662336" behindDoc="0" locked="0" layoutInCell="1" allowOverlap="1" wp14:anchorId="4CCAC2F6" wp14:editId="645D3847">
              <wp:simplePos x="0" y="0"/>
              <wp:positionH relativeFrom="margin">
                <wp:align>center</wp:align>
              </wp:positionH>
              <wp:positionV relativeFrom="paragraph">
                <wp:posOffset>95619</wp:posOffset>
              </wp:positionV>
              <wp:extent cx="6858000" cy="98129"/>
              <wp:effectExtent l="0" t="0" r="0" b="0"/>
              <wp:wrapNone/>
              <wp:docPr id="995208069" name="b209189a-0eb4-4ebf-a7a8-790eaae0ee1e"/>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129"/>
                      </a:xfrm>
                      <a:prstGeom prst="rect">
                        <a:avLst/>
                      </a:prstGeom>
                      <a:solidFill>
                        <a:schemeClr val="tx2">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5688461" id="b209189a-0eb4-4ebf-a7a8-790eaae0ee1e" o:spid="_x0000_s1026" style="position:absolute;margin-left:0;margin-top:7.55pt;width:540pt;height:7.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" fillcolor="#0a1d30 [2415]" stroked="f">
              <w10:wrap anchorx="margin"/>
            </v:rect>
          </w:pict>
        </mc:Fallback>
      </mc:AlternateContent>
    </w:r>
    <w:r w:rsidR="00BF1E50" w:rsidRPr="00BF1E50">
      <w:drawing>
        <wp:anchor distT="0" distB="0" distL="114300" distR="114300" simplePos="0" relativeHeight="251664384" behindDoc="0" locked="0" layoutInCell="1" allowOverlap="1" wp14:anchorId="5A2800E7" wp14:editId="255D17C0">
          <wp:simplePos x="0" y="0"/>
          <wp:positionH relativeFrom="margin">
            <wp:align>center</wp:align>
          </wp:positionH>
          <wp:positionV relativeFrom="page">
            <wp:posOffset>117180</wp:posOffset>
          </wp:positionV>
          <wp:extent cx="1261745" cy="403860"/>
          <wp:effectExtent l="0" t="0" r="0" b="0"/>
          <wp:wrapTopAndBottom/>
          <wp:docPr id="2107272906" name="c8f997e1-a79a-4cab-bce3-e2d1d2ebff9a" descr="A close up of a logo&#10;&#10;AI-generated content may be incorrect.">
            <a:extLst xmlns:a="http://schemas.openxmlformats.org/drawingml/2006/main">
              <a:ext uri="{FF2B5EF4-FFF2-40B4-BE49-F238E27FC236}">
                <a16:creationId xmlns:a16="http://schemas.microsoft.com/office/drawing/2014/main" id="{63796316-7BC0-1318-5B07-2FAF14DB42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8f997e1-a79a-4cab-bce3-e2d1d2ebff9a" descr="A close up of a logo&#10;&#10;AI-generated content may be incorrect.">
                    <a:extLst>
                      <a:ext uri="{FF2B5EF4-FFF2-40B4-BE49-F238E27FC236}">
                        <a16:creationId xmlns:a16="http://schemas.microsoft.com/office/drawing/2014/main" id="{63796316-7BC0-1318-5B07-2FAF14DB426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174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500A5"/>
    <w:multiLevelType w:val="hybridMultilevel"/>
    <w:tmpl w:val="D8641644"/>
    <w:lvl w:ilvl="0" w:tplc="512C95B0">
      <w:numFmt w:val="bullet"/>
      <w:lvlText w:val="-"/>
      <w:lvlJc w:val="left"/>
      <w:pPr>
        <w:ind w:left="450" w:hanging="360"/>
      </w:pPr>
      <w:rPr>
        <w:rFonts w:ascii="Aptos" w:eastAsia="Times New Roman" w:hAnsi="Aptos" w:cs="Helvetica" w:hint="default"/>
        <w:b w:val="0"/>
        <w:bCs/>
      </w:rPr>
    </w:lvl>
    <w:lvl w:ilvl="1" w:tplc="04090005">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43517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GINREP" w:val="BEGINREP"/>
    <w:docVar w:name="ENDREP" w:val="ENDREP"/>
  </w:docVars>
  <w:rsids>
    <w:rsidRoot w:val="00BF1E50"/>
    <w:rsid w:val="00607D5C"/>
    <w:rsid w:val="0090588D"/>
    <w:rsid w:val="009A4A8B"/>
    <w:rsid w:val="00AD55F9"/>
    <w:rsid w:val="00AD6257"/>
    <w:rsid w:val="00BF1E50"/>
    <w:rsid w:val="00EC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3FEC5"/>
  <w15:chartTrackingRefBased/>
  <w15:docId w15:val="{05B05DF2-64B3-4ACB-A1D4-1FFFE203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8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F1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E50"/>
    <w:rPr>
      <w:rFonts w:eastAsiaTheme="majorEastAsia" w:cstheme="majorBidi"/>
      <w:color w:val="272727" w:themeColor="text1" w:themeTint="D8"/>
    </w:rPr>
  </w:style>
  <w:style w:type="paragraph" w:styleId="Title">
    <w:name w:val="Title"/>
    <w:basedOn w:val="Normal"/>
    <w:next w:val="Normal"/>
    <w:link w:val="TitleChar"/>
    <w:uiPriority w:val="10"/>
    <w:qFormat/>
    <w:rsid w:val="00BF1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E50"/>
    <w:pPr>
      <w:spacing w:before="160"/>
      <w:jc w:val="center"/>
    </w:pPr>
    <w:rPr>
      <w:i/>
      <w:iCs/>
      <w:color w:val="404040" w:themeColor="text1" w:themeTint="BF"/>
    </w:rPr>
  </w:style>
  <w:style w:type="character" w:customStyle="1" w:styleId="QuoteChar">
    <w:name w:val="Quote Char"/>
    <w:basedOn w:val="DefaultParagraphFont"/>
    <w:link w:val="Quote"/>
    <w:uiPriority w:val="29"/>
    <w:rsid w:val="00BF1E50"/>
    <w:rPr>
      <w:i/>
      <w:iCs/>
      <w:color w:val="404040" w:themeColor="text1" w:themeTint="BF"/>
    </w:rPr>
  </w:style>
  <w:style w:type="paragraph" w:styleId="ListParagraph">
    <w:name w:val="List Paragraph"/>
    <w:basedOn w:val="Normal"/>
    <w:uiPriority w:val="34"/>
    <w:qFormat/>
    <w:rsid w:val="00BF1E50"/>
    <w:pPr>
      <w:ind w:left="720"/>
      <w:contextualSpacing/>
    </w:pPr>
  </w:style>
  <w:style w:type="character" w:styleId="IntenseEmphasis">
    <w:name w:val="Intense Emphasis"/>
    <w:basedOn w:val="DefaultParagraphFont"/>
    <w:uiPriority w:val="21"/>
    <w:qFormat/>
    <w:rsid w:val="00BF1E50"/>
    <w:rPr>
      <w:i/>
      <w:iCs/>
      <w:color w:val="0F4761" w:themeColor="accent1" w:themeShade="BF"/>
    </w:rPr>
  </w:style>
  <w:style w:type="paragraph" w:styleId="IntenseQuote">
    <w:name w:val="Intense Quote"/>
    <w:basedOn w:val="Normal"/>
    <w:next w:val="Normal"/>
    <w:link w:val="IntenseQuoteChar"/>
    <w:uiPriority w:val="30"/>
    <w:qFormat/>
    <w:rsid w:val="00BF1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E50"/>
    <w:rPr>
      <w:i/>
      <w:iCs/>
      <w:color w:val="0F4761" w:themeColor="accent1" w:themeShade="BF"/>
    </w:rPr>
  </w:style>
  <w:style w:type="character" w:styleId="IntenseReference">
    <w:name w:val="Intense Reference"/>
    <w:basedOn w:val="DefaultParagraphFont"/>
    <w:uiPriority w:val="32"/>
    <w:qFormat/>
    <w:rsid w:val="00BF1E50"/>
    <w:rPr>
      <w:b/>
      <w:bCs/>
      <w:smallCaps/>
      <w:color w:val="0F4761" w:themeColor="accent1" w:themeShade="BF"/>
      <w:spacing w:val="5"/>
    </w:rPr>
  </w:style>
  <w:style w:type="paragraph" w:styleId="Header">
    <w:name w:val="header"/>
    <w:basedOn w:val="Normal"/>
    <w:link w:val="HeaderChar"/>
    <w:uiPriority w:val="99"/>
    <w:unhideWhenUsed/>
    <w:rsid w:val="00BF1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E50"/>
  </w:style>
  <w:style w:type="paragraph" w:styleId="Footer">
    <w:name w:val="footer"/>
    <w:basedOn w:val="Normal"/>
    <w:link w:val="FooterChar"/>
    <w:uiPriority w:val="99"/>
    <w:unhideWhenUsed/>
    <w:rsid w:val="00BF1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50"/>
  </w:style>
  <w:style w:type="character" w:styleId="Hyperlink">
    <w:name w:val="Hyperlink"/>
    <w:basedOn w:val="DefaultParagraphFont"/>
    <w:uiPriority w:val="99"/>
    <w:unhideWhenUsed/>
    <w:rsid w:val="009A4A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ercier@c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Polite</dc:creator>
  <cp:keywords/>
  <dc:description/>
  <cp:lastModifiedBy>Christina Polite</cp:lastModifiedBy>
  <cp:revision>1</cp:revision>
  <dcterms:created xsi:type="dcterms:W3CDTF">2025-08-07T16:30:00Z</dcterms:created>
  <dcterms:modified xsi:type="dcterms:W3CDTF">2025-08-07T16:49:00Z</dcterms:modified>
</cp:coreProperties>
</file>